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437E329" w14:textId="77777777" w:rsidR="009016B0" w:rsidRDefault="00216800" w:rsidP="003B4980">
      <w:pPr>
        <w:spacing w:after="120"/>
        <w:jc w:val="center"/>
      </w:pPr>
      <w:bookmarkStart w:id="0" w:name="_GoBack"/>
      <w:bookmarkEnd w:id="0"/>
      <w:r>
        <w:rPr>
          <w:b/>
          <w:bCs/>
          <w:color w:val="0D2B45"/>
          <w:sz w:val="38"/>
          <w:szCs w:val="38"/>
        </w:rPr>
        <w:t>Gestión de Calidad en el Laboratorio</w:t>
      </w:r>
    </w:p>
    <w:p w14:paraId="5F1268FF" w14:textId="77777777" w:rsidR="009016B0" w:rsidRDefault="00216800" w:rsidP="003B4980">
      <w:pPr>
        <w:spacing w:after="80"/>
      </w:pPr>
      <w:r>
        <w:rPr>
          <w:color w:val="1A5276"/>
          <w:sz w:val="26"/>
          <w:szCs w:val="26"/>
        </w:rPr>
        <w:t>Módulo 1 — Fundamentos y Normalización</w:t>
      </w:r>
    </w:p>
    <w:p w14:paraId="6052D4F4" w14:textId="77777777" w:rsidR="009016B0" w:rsidRDefault="00216800" w:rsidP="003B4980">
      <w:pPr>
        <w:spacing w:after="80"/>
      </w:pPr>
      <w:r>
        <w:rPr>
          <w:b/>
          <w:bCs/>
          <w:color w:val="0E6655"/>
        </w:rPr>
        <w:t>Bibliografía recomendada para profundizar</w:t>
      </w:r>
    </w:p>
    <w:p w14:paraId="64C07812" w14:textId="77777777" w:rsidR="009016B0" w:rsidRDefault="00216800" w:rsidP="003B4980">
      <w:pPr>
        <w:spacing w:after="400"/>
      </w:pPr>
      <w:r>
        <w:rPr>
          <w:color w:val="888888"/>
          <w:sz w:val="19"/>
          <w:szCs w:val="19"/>
        </w:rPr>
        <w:t xml:space="preserve">Diplomatura en Bioquímica Aplicada · Consejo de Bioquímicos de Jujuy · 2026  |  </w:t>
      </w:r>
      <w:proofErr w:type="spellStart"/>
      <w:r>
        <w:rPr>
          <w:color w:val="888888"/>
          <w:sz w:val="19"/>
          <w:szCs w:val="19"/>
        </w:rPr>
        <w:t>Bioq</w:t>
      </w:r>
      <w:proofErr w:type="spellEnd"/>
      <w:r>
        <w:rPr>
          <w:color w:val="888888"/>
          <w:sz w:val="19"/>
          <w:szCs w:val="19"/>
        </w:rPr>
        <w:t>. Esp. Fernando Canna — M.P. 4281</w:t>
      </w:r>
    </w:p>
    <w:p w14:paraId="46CB25CD" w14:textId="77777777" w:rsidR="009016B0" w:rsidRDefault="009016B0">
      <w:pPr>
        <w:pBdr>
          <w:bottom w:val="single" w:sz="4" w:space="1" w:color="1A5276"/>
        </w:pBdr>
        <w:spacing w:after="80"/>
      </w:pPr>
    </w:p>
    <w:p w14:paraId="7A760C73" w14:textId="77777777" w:rsidR="009016B0" w:rsidRDefault="009016B0"/>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9016B0" w14:paraId="7A6004E6" w14:textId="77777777">
        <w:tc>
          <w:tcPr>
            <w:tcW w:w="0" w:type="auto"/>
            <w:tcBorders>
              <w:top w:val="single" w:sz="1" w:space="0" w:color="CCCCCC"/>
              <w:left w:val="single" w:sz="1" w:space="0" w:color="CCCCCC"/>
              <w:bottom w:val="single" w:sz="1" w:space="0" w:color="CCCCCC"/>
              <w:right w:val="single" w:sz="1" w:space="0" w:color="CCCCCC"/>
            </w:tcBorders>
            <w:shd w:val="clear" w:color="auto" w:fill="D6EAF8"/>
            <w:tcMar>
              <w:top w:w="120" w:type="dxa"/>
              <w:left w:w="200" w:type="dxa"/>
              <w:bottom w:w="120" w:type="dxa"/>
              <w:right w:w="200" w:type="dxa"/>
            </w:tcMar>
          </w:tcPr>
          <w:p w14:paraId="1DC895F6" w14:textId="77777777" w:rsidR="009016B0" w:rsidRDefault="00216800">
            <w:r>
              <w:rPr>
                <w:b/>
                <w:bCs/>
                <w:color w:val="1A5276"/>
              </w:rPr>
              <w:t xml:space="preserve">¿Por qué esta </w:t>
            </w:r>
            <w:r>
              <w:rPr>
                <w:b/>
                <w:bCs/>
                <w:color w:val="1A5276"/>
              </w:rPr>
              <w:t>selección?</w:t>
            </w:r>
          </w:p>
          <w:p w14:paraId="332DAD59" w14:textId="77777777" w:rsidR="009016B0" w:rsidRDefault="00216800">
            <w:pPr>
              <w:spacing w:before="80"/>
            </w:pPr>
            <w:r>
              <w:rPr>
                <w:color w:val="333333"/>
                <w:sz w:val="20"/>
                <w:szCs w:val="20"/>
              </w:rPr>
              <w:t xml:space="preserve">Los recursos que siguen fueron seleccionados con un criterio claro: acceso libre o abierto, lenguaje apropiado para profesionales con experiencia práctica que se acercan por primera vez al marco conceptual de la gestión de calidad, y alineación </w:t>
            </w:r>
            <w:r>
              <w:rPr>
                <w:color w:val="333333"/>
                <w:sz w:val="20"/>
                <w:szCs w:val="20"/>
              </w:rPr>
              <w:t>directa con los contenidos del Módulo 1. Se prioriza el español donde está disponible, y se señala el nivel de dificultad de cada recurso.</w:t>
            </w:r>
          </w:p>
        </w:tc>
      </w:tr>
    </w:tbl>
    <w:p w14:paraId="50A8D607" w14:textId="77777777" w:rsidR="009016B0" w:rsidRDefault="009016B0"/>
    <w:p w14:paraId="7827A8BA" w14:textId="77777777" w:rsidR="009016B0" w:rsidRDefault="00216800">
      <w:pPr>
        <w:spacing w:after="120"/>
      </w:pPr>
      <w:r>
        <w:rPr>
          <w:b/>
          <w:bCs/>
          <w:color w:val="0D2B45"/>
          <w:sz w:val="28"/>
          <w:szCs w:val="28"/>
        </w:rPr>
        <w:t>Recursos recomendados</w:t>
      </w:r>
    </w:p>
    <w:p w14:paraId="2480CDC6" w14:textId="77777777" w:rsidR="009016B0" w:rsidRDefault="009016B0">
      <w:pPr>
        <w:pBdr>
          <w:bottom w:val="single" w:sz="4" w:space="1" w:color="1A5276"/>
        </w:pBdr>
        <w:spacing w:after="80"/>
      </w:pPr>
    </w:p>
    <w:p w14:paraId="7C62F579" w14:textId="77777777" w:rsidR="009016B0" w:rsidRDefault="009016B0"/>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9016B0" w14:paraId="1985BC43" w14:textId="77777777">
        <w:tc>
          <w:tcPr>
            <w:tcW w:w="0" w:type="auto"/>
            <w:tcBorders>
              <w:top w:val="single" w:sz="1" w:space="0" w:color="CCCCCC"/>
              <w:left w:val="single" w:sz="1" w:space="0" w:color="CCCCCC"/>
              <w:bottom w:val="single" w:sz="1" w:space="0" w:color="CCCCCC"/>
              <w:right w:val="single" w:sz="1" w:space="0" w:color="CCCCCC"/>
            </w:tcBorders>
            <w:shd w:val="clear" w:color="auto" w:fill="0E6655"/>
            <w:tcMar>
              <w:top w:w="80" w:type="dxa"/>
              <w:left w:w="160" w:type="dxa"/>
              <w:bottom w:w="80" w:type="dxa"/>
              <w:right w:w="160" w:type="dxa"/>
            </w:tcMar>
          </w:tcPr>
          <w:p w14:paraId="7B702D45" w14:textId="77777777" w:rsidR="009016B0" w:rsidRDefault="00216800">
            <w:r>
              <w:rPr>
                <w:b/>
                <w:bCs/>
                <w:color w:val="FFFFFF"/>
                <w:sz w:val="20"/>
                <w:szCs w:val="20"/>
              </w:rPr>
              <w:t>🟢</w:t>
            </w:r>
            <w:r>
              <w:rPr>
                <w:b/>
                <w:bCs/>
                <w:color w:val="FFFFFF"/>
                <w:sz w:val="20"/>
                <w:szCs w:val="20"/>
              </w:rPr>
              <w:t xml:space="preserve">  NIVEL INTRODUCTORIO · Español · Acceso libre</w:t>
            </w:r>
          </w:p>
        </w:tc>
      </w:tr>
      <w:tr w:rsidR="009016B0" w14:paraId="5B6EF26D" w14:textId="77777777">
        <w:tc>
          <w:tcPr>
            <w:tcW w:w="0" w:type="auto"/>
            <w:tcBorders>
              <w:top w:val="single" w:sz="1" w:space="0" w:color="CCCCCC"/>
              <w:left w:val="single" w:sz="1" w:space="0" w:color="CCCCCC"/>
              <w:bottom w:val="single" w:sz="1" w:space="0" w:color="CCCCCC"/>
              <w:right w:val="single" w:sz="1" w:space="0" w:color="CCCCCC"/>
            </w:tcBorders>
            <w:shd w:val="clear" w:color="auto" w:fill="E8F8F5"/>
            <w:tcMar>
              <w:top w:w="100" w:type="dxa"/>
              <w:left w:w="160" w:type="dxa"/>
              <w:bottom w:w="60" w:type="dxa"/>
              <w:right w:w="160" w:type="dxa"/>
            </w:tcMar>
          </w:tcPr>
          <w:p w14:paraId="3A94041F" w14:textId="77777777" w:rsidR="009016B0" w:rsidRDefault="00216800">
            <w:r>
              <w:rPr>
                <w:b/>
                <w:bCs/>
                <w:color w:val="111111"/>
              </w:rPr>
              <w:t xml:space="preserve">Curso de Gestión de Calidad y Buenas </w:t>
            </w:r>
            <w:r>
              <w:rPr>
                <w:b/>
                <w:bCs/>
                <w:color w:val="111111"/>
              </w:rPr>
              <w:t>Prácticas de Laboratorio — 3ª Edición</w:t>
            </w:r>
          </w:p>
        </w:tc>
      </w:tr>
      <w:tr w:rsidR="009016B0" w14:paraId="0B57E547" w14:textId="77777777">
        <w:tc>
          <w:tcPr>
            <w:tcW w:w="0" w:type="auto"/>
            <w:tcBorders>
              <w:top w:val="single" w:sz="1" w:space="0" w:color="CCCCCC"/>
              <w:left w:val="single" w:sz="1" w:space="0" w:color="CCCCCC"/>
              <w:bottom w:val="single" w:sz="1" w:space="0" w:color="CCCCCC"/>
              <w:right w:val="single" w:sz="1" w:space="0" w:color="CCCCCC"/>
            </w:tcBorders>
            <w:shd w:val="clear" w:color="auto" w:fill="E8F8F5"/>
            <w:tcMar>
              <w:top w:w="0" w:type="dxa"/>
              <w:left w:w="160" w:type="dxa"/>
              <w:bottom w:w="60" w:type="dxa"/>
              <w:right w:w="160" w:type="dxa"/>
            </w:tcMar>
          </w:tcPr>
          <w:p w14:paraId="4A571F48" w14:textId="77777777" w:rsidR="009016B0" w:rsidRDefault="00216800">
            <w:r>
              <w:rPr>
                <w:i/>
                <w:iCs/>
                <w:color w:val="555555"/>
                <w:sz w:val="19"/>
                <w:szCs w:val="19"/>
              </w:rPr>
              <w:t>Organización Panamericana de la Salud (OPS/OMS). Washington D.C.: OPS; 2016.</w:t>
            </w:r>
          </w:p>
        </w:tc>
      </w:tr>
      <w:tr w:rsidR="009016B0" w14:paraId="0E50AA9B" w14:textId="77777777">
        <w:tc>
          <w:tcPr>
            <w:tcW w:w="0" w:type="auto"/>
            <w:tcBorders>
              <w:top w:val="single" w:sz="1" w:space="0" w:color="CCCCCC"/>
              <w:left w:val="single" w:sz="1" w:space="0" w:color="CCCCCC"/>
              <w:bottom w:val="single" w:sz="1" w:space="0" w:color="CCCCCC"/>
              <w:right w:val="single" w:sz="1" w:space="0" w:color="CCCCCC"/>
            </w:tcBorders>
            <w:shd w:val="clear" w:color="auto" w:fill="E8F8F5"/>
            <w:tcMar>
              <w:top w:w="0" w:type="dxa"/>
              <w:left w:w="160" w:type="dxa"/>
              <w:bottom w:w="80" w:type="dxa"/>
              <w:right w:w="160" w:type="dxa"/>
            </w:tcMar>
          </w:tcPr>
          <w:p w14:paraId="46037948" w14:textId="77777777" w:rsidR="009016B0" w:rsidRDefault="00216800">
            <w:r>
              <w:rPr>
                <w:color w:val="333333"/>
                <w:sz w:val="20"/>
                <w:szCs w:val="20"/>
              </w:rPr>
              <w:t xml:space="preserve">El recurso más completo disponible en español para laboratorios de salud de la región. Consta de 10 módulos que recorren desde los </w:t>
            </w:r>
            <w:r>
              <w:rPr>
                <w:color w:val="333333"/>
                <w:sz w:val="20"/>
                <w:szCs w:val="20"/>
              </w:rPr>
              <w:t>conceptos y normas de calidad hasta la gestión por procesos, documentación, recursos humanos y mejora continua. Fue desarrollado por OPS/OMS junto con el Instituto de Salud Carlos III de España y la Confederación Latinoamericana de Bioquímica Clínica (COLA</w:t>
            </w:r>
            <w:r>
              <w:rPr>
                <w:color w:val="333333"/>
                <w:sz w:val="20"/>
                <w:szCs w:val="20"/>
              </w:rPr>
              <w:t>BIOCLI). Ideal para empezar y para usar como referencia de cabecera.</w:t>
            </w:r>
          </w:p>
        </w:tc>
      </w:tr>
      <w:tr w:rsidR="009016B0" w14:paraId="6FF52464" w14:textId="77777777">
        <w:tc>
          <w:tcPr>
            <w:tcW w:w="0" w:type="auto"/>
            <w:tcBorders>
              <w:top w:val="single" w:sz="1" w:space="0" w:color="CCCCCC"/>
              <w:left w:val="single" w:sz="1" w:space="0" w:color="CCCCCC"/>
              <w:bottom w:val="single" w:sz="1" w:space="0" w:color="CCCCCC"/>
              <w:right w:val="single" w:sz="1" w:space="0" w:color="CCCCCC"/>
            </w:tcBorders>
            <w:shd w:val="clear" w:color="auto" w:fill="E8F8F5"/>
            <w:tcMar>
              <w:top w:w="0" w:type="dxa"/>
              <w:left w:w="160" w:type="dxa"/>
              <w:bottom w:w="80" w:type="dxa"/>
              <w:right w:w="160" w:type="dxa"/>
            </w:tcMar>
          </w:tcPr>
          <w:p w14:paraId="47ADC1EB" w14:textId="77777777" w:rsidR="009016B0" w:rsidRDefault="00216800">
            <w:r>
              <w:rPr>
                <w:b/>
                <w:bCs/>
                <w:color w:val="0E6655"/>
                <w:sz w:val="19"/>
                <w:szCs w:val="19"/>
              </w:rPr>
              <w:t xml:space="preserve">Módulos relevantes: </w:t>
            </w:r>
            <w:r>
              <w:rPr>
                <w:color w:val="333333"/>
                <w:sz w:val="19"/>
                <w:szCs w:val="19"/>
              </w:rPr>
              <w:t>Módulo 1 (Conceptos y normas), Módulo 2 (Planificación del sistema de calidad), Módulo 3 (Gestión por procesos). Los tres cubren directamente los contenidos de la cla</w:t>
            </w:r>
            <w:r>
              <w:rPr>
                <w:color w:val="333333"/>
                <w:sz w:val="19"/>
                <w:szCs w:val="19"/>
              </w:rPr>
              <w:t>se.</w:t>
            </w:r>
          </w:p>
        </w:tc>
      </w:tr>
      <w:tr w:rsidR="009016B0" w14:paraId="5AB583AB" w14:textId="77777777">
        <w:tc>
          <w:tcPr>
            <w:tcW w:w="0" w:type="auto"/>
            <w:tcBorders>
              <w:top w:val="single" w:sz="1" w:space="0" w:color="CCCCCC"/>
              <w:left w:val="single" w:sz="1" w:space="0" w:color="CCCCCC"/>
              <w:bottom w:val="single" w:sz="1" w:space="0" w:color="CCCCCC"/>
              <w:right w:val="single" w:sz="1" w:space="0" w:color="CCCCCC"/>
            </w:tcBorders>
            <w:shd w:val="clear" w:color="auto" w:fill="E8F8F5"/>
            <w:tcMar>
              <w:top w:w="0" w:type="dxa"/>
              <w:left w:w="160" w:type="dxa"/>
              <w:bottom w:w="100" w:type="dxa"/>
              <w:right w:w="160" w:type="dxa"/>
            </w:tcMar>
          </w:tcPr>
          <w:p w14:paraId="2A82103B" w14:textId="77777777" w:rsidR="009016B0" w:rsidRDefault="00216800">
            <w:r>
              <w:rPr>
                <w:b/>
                <w:bCs/>
                <w:color w:val="0E6655"/>
                <w:sz w:val="19"/>
                <w:szCs w:val="19"/>
              </w:rPr>
              <w:t xml:space="preserve">Acceso: </w:t>
            </w:r>
            <w:hyperlink r:id="rId6" w:history="1">
              <w:r>
                <w:rPr>
                  <w:color w:val="1A5276"/>
                  <w:sz w:val="19"/>
                  <w:szCs w:val="19"/>
                  <w:u w:val="single"/>
                </w:rPr>
                <w:t>https://iris.paho.org/handle/10665.2/31168</w:t>
              </w:r>
            </w:hyperlink>
          </w:p>
        </w:tc>
      </w:tr>
    </w:tbl>
    <w:p w14:paraId="008927F8" w14:textId="77777777" w:rsidR="009016B0" w:rsidRDefault="009016B0"/>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9016B0" w14:paraId="26F37875" w14:textId="77777777">
        <w:tc>
          <w:tcPr>
            <w:tcW w:w="0" w:type="auto"/>
            <w:tcBorders>
              <w:top w:val="single" w:sz="1" w:space="0" w:color="CCCCCC"/>
              <w:left w:val="single" w:sz="1" w:space="0" w:color="CCCCCC"/>
              <w:bottom w:val="single" w:sz="1" w:space="0" w:color="CCCCCC"/>
              <w:right w:val="single" w:sz="1" w:space="0" w:color="CCCCCC"/>
            </w:tcBorders>
            <w:shd w:val="clear" w:color="auto" w:fill="D35400"/>
            <w:tcMar>
              <w:top w:w="80" w:type="dxa"/>
              <w:left w:w="160" w:type="dxa"/>
              <w:bottom w:w="80" w:type="dxa"/>
              <w:right w:w="160" w:type="dxa"/>
            </w:tcMar>
          </w:tcPr>
          <w:p w14:paraId="28CEF756" w14:textId="77777777" w:rsidR="009016B0" w:rsidRDefault="00216800">
            <w:r>
              <w:rPr>
                <w:b/>
                <w:bCs/>
                <w:color w:val="FFFFFF"/>
                <w:sz w:val="20"/>
                <w:szCs w:val="20"/>
              </w:rPr>
              <w:t>🟡</w:t>
            </w:r>
            <w:r>
              <w:rPr>
                <w:b/>
                <w:bCs/>
                <w:color w:val="FFFFFF"/>
                <w:sz w:val="20"/>
                <w:szCs w:val="20"/>
              </w:rPr>
              <w:t xml:space="preserve">  NIVEL INTERMEDIO · Inglés · Descarga libre (CDC)</w:t>
            </w:r>
          </w:p>
        </w:tc>
      </w:tr>
      <w:tr w:rsidR="009016B0" w14:paraId="5469A3F7" w14:textId="77777777">
        <w:tc>
          <w:tcPr>
            <w:tcW w:w="0" w:type="auto"/>
            <w:tcBorders>
              <w:top w:val="single" w:sz="1" w:space="0" w:color="CCCCCC"/>
              <w:left w:val="single" w:sz="1" w:space="0" w:color="CCCCCC"/>
              <w:bottom w:val="single" w:sz="1" w:space="0" w:color="CCCCCC"/>
              <w:right w:val="single" w:sz="1" w:space="0" w:color="CCCCCC"/>
            </w:tcBorders>
            <w:shd w:val="clear" w:color="auto" w:fill="FEF9E7"/>
            <w:tcMar>
              <w:top w:w="100" w:type="dxa"/>
              <w:left w:w="160" w:type="dxa"/>
              <w:bottom w:w="60" w:type="dxa"/>
              <w:right w:w="160" w:type="dxa"/>
            </w:tcMar>
          </w:tcPr>
          <w:p w14:paraId="6560FA27" w14:textId="77777777" w:rsidR="009016B0" w:rsidRDefault="00216800">
            <w:proofErr w:type="spellStart"/>
            <w:r>
              <w:rPr>
                <w:b/>
                <w:bCs/>
                <w:color w:val="111111"/>
              </w:rPr>
              <w:t>Laboratory</w:t>
            </w:r>
            <w:proofErr w:type="spellEnd"/>
            <w:r>
              <w:rPr>
                <w:b/>
                <w:bCs/>
                <w:color w:val="111111"/>
              </w:rPr>
              <w:t xml:space="preserve"> </w:t>
            </w:r>
            <w:proofErr w:type="spellStart"/>
            <w:r>
              <w:rPr>
                <w:b/>
                <w:bCs/>
                <w:color w:val="111111"/>
              </w:rPr>
              <w:t>Quality</w:t>
            </w:r>
            <w:proofErr w:type="spellEnd"/>
            <w:r>
              <w:rPr>
                <w:b/>
                <w:bCs/>
                <w:color w:val="111111"/>
              </w:rPr>
              <w:t xml:space="preserve"> Management </w:t>
            </w:r>
            <w:proofErr w:type="spellStart"/>
            <w:r>
              <w:rPr>
                <w:b/>
                <w:bCs/>
                <w:color w:val="111111"/>
              </w:rPr>
              <w:t>System</w:t>
            </w:r>
            <w:proofErr w:type="spellEnd"/>
            <w:r>
              <w:rPr>
                <w:b/>
                <w:bCs/>
                <w:color w:val="111111"/>
              </w:rPr>
              <w:t xml:space="preserve">: </w:t>
            </w:r>
            <w:proofErr w:type="spellStart"/>
            <w:r>
              <w:rPr>
                <w:b/>
                <w:bCs/>
                <w:color w:val="111111"/>
              </w:rPr>
              <w:t>Handbook</w:t>
            </w:r>
            <w:proofErr w:type="spellEnd"/>
          </w:p>
        </w:tc>
      </w:tr>
      <w:tr w:rsidR="009016B0" w14:paraId="42EEA6E0" w14:textId="77777777">
        <w:tc>
          <w:tcPr>
            <w:tcW w:w="0" w:type="auto"/>
            <w:tcBorders>
              <w:top w:val="single" w:sz="1" w:space="0" w:color="CCCCCC"/>
              <w:left w:val="single" w:sz="1" w:space="0" w:color="CCCCCC"/>
              <w:bottom w:val="single" w:sz="1" w:space="0" w:color="CCCCCC"/>
              <w:right w:val="single" w:sz="1" w:space="0" w:color="CCCCCC"/>
            </w:tcBorders>
            <w:shd w:val="clear" w:color="auto" w:fill="FEF9E7"/>
            <w:tcMar>
              <w:top w:w="0" w:type="dxa"/>
              <w:left w:w="160" w:type="dxa"/>
              <w:bottom w:w="60" w:type="dxa"/>
              <w:right w:w="160" w:type="dxa"/>
            </w:tcMar>
          </w:tcPr>
          <w:p w14:paraId="73C40B33" w14:textId="77777777" w:rsidR="009016B0" w:rsidRDefault="00216800">
            <w:proofErr w:type="spellStart"/>
            <w:r>
              <w:rPr>
                <w:i/>
                <w:iCs/>
                <w:color w:val="555555"/>
                <w:sz w:val="19"/>
                <w:szCs w:val="19"/>
              </w:rPr>
              <w:t>World</w:t>
            </w:r>
            <w:proofErr w:type="spellEnd"/>
            <w:r>
              <w:rPr>
                <w:i/>
                <w:iCs/>
                <w:color w:val="555555"/>
                <w:sz w:val="19"/>
                <w:szCs w:val="19"/>
              </w:rPr>
              <w:t xml:space="preserve"> </w:t>
            </w:r>
            <w:proofErr w:type="spellStart"/>
            <w:r>
              <w:rPr>
                <w:i/>
                <w:iCs/>
                <w:color w:val="555555"/>
                <w:sz w:val="19"/>
                <w:szCs w:val="19"/>
              </w:rPr>
              <w:t>Health</w:t>
            </w:r>
            <w:proofErr w:type="spellEnd"/>
            <w:r>
              <w:rPr>
                <w:i/>
                <w:iCs/>
                <w:color w:val="555555"/>
                <w:sz w:val="19"/>
                <w:szCs w:val="19"/>
              </w:rPr>
              <w:t xml:space="preserve"> </w:t>
            </w:r>
            <w:proofErr w:type="spellStart"/>
            <w:r>
              <w:rPr>
                <w:i/>
                <w:iCs/>
                <w:color w:val="555555"/>
                <w:sz w:val="19"/>
                <w:szCs w:val="19"/>
              </w:rPr>
              <w:t>Organization</w:t>
            </w:r>
            <w:proofErr w:type="spellEnd"/>
            <w:r>
              <w:rPr>
                <w:i/>
                <w:iCs/>
                <w:color w:val="555555"/>
                <w:sz w:val="19"/>
                <w:szCs w:val="19"/>
              </w:rPr>
              <w:t xml:space="preserve"> / CDC / CLSI. Geneva: WHO; 2011.</w:t>
            </w:r>
          </w:p>
        </w:tc>
      </w:tr>
      <w:tr w:rsidR="009016B0" w14:paraId="792968F9" w14:textId="77777777">
        <w:tc>
          <w:tcPr>
            <w:tcW w:w="0" w:type="auto"/>
            <w:tcBorders>
              <w:top w:val="single" w:sz="1" w:space="0" w:color="CCCCCC"/>
              <w:left w:val="single" w:sz="1" w:space="0" w:color="CCCCCC"/>
              <w:bottom w:val="single" w:sz="1" w:space="0" w:color="CCCCCC"/>
              <w:right w:val="single" w:sz="1" w:space="0" w:color="CCCCCC"/>
            </w:tcBorders>
            <w:shd w:val="clear" w:color="auto" w:fill="FEF9E7"/>
            <w:tcMar>
              <w:top w:w="0" w:type="dxa"/>
              <w:left w:w="160" w:type="dxa"/>
              <w:bottom w:w="80" w:type="dxa"/>
              <w:right w:w="160" w:type="dxa"/>
            </w:tcMar>
          </w:tcPr>
          <w:p w14:paraId="5884C93F" w14:textId="77777777" w:rsidR="009016B0" w:rsidRDefault="00216800">
            <w:r>
              <w:rPr>
                <w:color w:val="333333"/>
                <w:sz w:val="20"/>
                <w:szCs w:val="20"/>
              </w:rPr>
              <w:t>Manual de referencia exhaustivo sobre los sistemas de gestión de calidad para laboratorios de salud pública y clínicos. Basado tanto en ISO 15189 como en los documentos CLSI GP26-A3. Fue desarrollado a partir de capacitac</w:t>
            </w:r>
            <w:r>
              <w:rPr>
                <w:color w:val="333333"/>
                <w:sz w:val="20"/>
                <w:szCs w:val="20"/>
              </w:rPr>
              <w:t>iones dictadas en más de 25 países. Aunque está en inglés, el lenguaje es claro y accesible. Cubre los 12 elementos esenciales de un sistema de calidad, incluyendo procesos, documentos, registros, evaluación del desempeño y mejora continua.</w:t>
            </w:r>
          </w:p>
        </w:tc>
      </w:tr>
      <w:tr w:rsidR="009016B0" w14:paraId="3F97DD24" w14:textId="77777777">
        <w:tc>
          <w:tcPr>
            <w:tcW w:w="0" w:type="auto"/>
            <w:tcBorders>
              <w:top w:val="single" w:sz="1" w:space="0" w:color="CCCCCC"/>
              <w:left w:val="single" w:sz="1" w:space="0" w:color="CCCCCC"/>
              <w:bottom w:val="single" w:sz="1" w:space="0" w:color="CCCCCC"/>
              <w:right w:val="single" w:sz="1" w:space="0" w:color="CCCCCC"/>
            </w:tcBorders>
            <w:shd w:val="clear" w:color="auto" w:fill="FEF9E7"/>
            <w:tcMar>
              <w:top w:w="0" w:type="dxa"/>
              <w:left w:w="160" w:type="dxa"/>
              <w:bottom w:w="80" w:type="dxa"/>
              <w:right w:w="160" w:type="dxa"/>
            </w:tcMar>
          </w:tcPr>
          <w:p w14:paraId="44AD18A9" w14:textId="77777777" w:rsidR="009016B0" w:rsidRDefault="00216800">
            <w:r>
              <w:rPr>
                <w:b/>
                <w:bCs/>
                <w:color w:val="D35400"/>
                <w:sz w:val="19"/>
                <w:szCs w:val="19"/>
              </w:rPr>
              <w:t xml:space="preserve">Módulos relevantes: </w:t>
            </w:r>
            <w:r>
              <w:rPr>
                <w:color w:val="333333"/>
                <w:sz w:val="19"/>
                <w:szCs w:val="19"/>
              </w:rPr>
              <w:t>Capítulos 1 (Introducción al SGC), 4 (Documentación) y 10 (Evaluación del desempeño) son los más directamente relacionados con el Módulo 1.</w:t>
            </w:r>
          </w:p>
        </w:tc>
      </w:tr>
      <w:tr w:rsidR="009016B0" w14:paraId="166428CB" w14:textId="77777777">
        <w:tc>
          <w:tcPr>
            <w:tcW w:w="0" w:type="auto"/>
            <w:tcBorders>
              <w:top w:val="single" w:sz="1" w:space="0" w:color="CCCCCC"/>
              <w:left w:val="single" w:sz="1" w:space="0" w:color="CCCCCC"/>
              <w:bottom w:val="single" w:sz="1" w:space="0" w:color="CCCCCC"/>
              <w:right w:val="single" w:sz="1" w:space="0" w:color="CCCCCC"/>
            </w:tcBorders>
            <w:shd w:val="clear" w:color="auto" w:fill="FEF9E7"/>
            <w:tcMar>
              <w:top w:w="0" w:type="dxa"/>
              <w:left w:w="160" w:type="dxa"/>
              <w:bottom w:w="100" w:type="dxa"/>
              <w:right w:w="160" w:type="dxa"/>
            </w:tcMar>
          </w:tcPr>
          <w:p w14:paraId="400B8E70" w14:textId="77777777" w:rsidR="009016B0" w:rsidRDefault="00216800">
            <w:r>
              <w:rPr>
                <w:b/>
                <w:bCs/>
                <w:color w:val="D35400"/>
                <w:sz w:val="19"/>
                <w:szCs w:val="19"/>
              </w:rPr>
              <w:t xml:space="preserve">Acceso: </w:t>
            </w:r>
            <w:hyperlink r:id="rId7" w:history="1">
              <w:r>
                <w:rPr>
                  <w:color w:val="1A5276"/>
                  <w:sz w:val="19"/>
                  <w:szCs w:val="19"/>
                  <w:u w:val="single"/>
                </w:rPr>
                <w:t>https://stacks.cdc.gov/view/cdc/12202</w:t>
              </w:r>
            </w:hyperlink>
          </w:p>
        </w:tc>
      </w:tr>
    </w:tbl>
    <w:p w14:paraId="1B7DBFE0" w14:textId="77777777" w:rsidR="009016B0" w:rsidRDefault="009016B0"/>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9016B0" w14:paraId="48F703A8" w14:textId="77777777">
        <w:tc>
          <w:tcPr>
            <w:tcW w:w="0" w:type="auto"/>
            <w:tcBorders>
              <w:top w:val="single" w:sz="1" w:space="0" w:color="CCCCCC"/>
              <w:left w:val="single" w:sz="1" w:space="0" w:color="CCCCCC"/>
              <w:bottom w:val="single" w:sz="1" w:space="0" w:color="CCCCCC"/>
              <w:right w:val="single" w:sz="1" w:space="0" w:color="CCCCCC"/>
            </w:tcBorders>
            <w:shd w:val="clear" w:color="auto" w:fill="0E6655"/>
            <w:tcMar>
              <w:top w:w="80" w:type="dxa"/>
              <w:left w:w="160" w:type="dxa"/>
              <w:bottom w:w="80" w:type="dxa"/>
              <w:right w:w="160" w:type="dxa"/>
            </w:tcMar>
          </w:tcPr>
          <w:p w14:paraId="4236BCD5" w14:textId="77777777" w:rsidR="009016B0" w:rsidRDefault="00216800">
            <w:r>
              <w:rPr>
                <w:b/>
                <w:bCs/>
                <w:color w:val="FFFFFF"/>
                <w:sz w:val="20"/>
                <w:szCs w:val="20"/>
              </w:rPr>
              <w:t>🟡</w:t>
            </w:r>
            <w:r>
              <w:rPr>
                <w:b/>
                <w:bCs/>
                <w:color w:val="FFFFFF"/>
                <w:sz w:val="20"/>
                <w:szCs w:val="20"/>
              </w:rPr>
              <w:t xml:space="preserve">  NIVEL INTERMEDIO · Inglés · Acceso abierto (PMC)</w:t>
            </w:r>
          </w:p>
        </w:tc>
      </w:tr>
      <w:tr w:rsidR="009016B0" w14:paraId="00868BA3" w14:textId="77777777">
        <w:tc>
          <w:tcPr>
            <w:tcW w:w="0" w:type="auto"/>
            <w:tcBorders>
              <w:top w:val="single" w:sz="1" w:space="0" w:color="CCCCCC"/>
              <w:left w:val="single" w:sz="1" w:space="0" w:color="CCCCCC"/>
              <w:bottom w:val="single" w:sz="1" w:space="0" w:color="CCCCCC"/>
              <w:right w:val="single" w:sz="1" w:space="0" w:color="CCCCCC"/>
            </w:tcBorders>
            <w:shd w:val="clear" w:color="auto" w:fill="E8F8F5"/>
            <w:tcMar>
              <w:top w:w="100" w:type="dxa"/>
              <w:left w:w="160" w:type="dxa"/>
              <w:bottom w:w="60" w:type="dxa"/>
              <w:right w:w="160" w:type="dxa"/>
            </w:tcMar>
          </w:tcPr>
          <w:p w14:paraId="47541A6C" w14:textId="77777777" w:rsidR="009016B0" w:rsidRDefault="00216800">
            <w:proofErr w:type="spellStart"/>
            <w:r>
              <w:rPr>
                <w:b/>
                <w:bCs/>
                <w:color w:val="111111"/>
              </w:rPr>
              <w:t>Errors</w:t>
            </w:r>
            <w:proofErr w:type="spellEnd"/>
            <w:r>
              <w:rPr>
                <w:b/>
                <w:bCs/>
                <w:color w:val="111111"/>
              </w:rPr>
              <w:t xml:space="preserve"> </w:t>
            </w:r>
            <w:proofErr w:type="spellStart"/>
            <w:r>
              <w:rPr>
                <w:b/>
                <w:bCs/>
                <w:color w:val="111111"/>
              </w:rPr>
              <w:t>within</w:t>
            </w:r>
            <w:proofErr w:type="spellEnd"/>
            <w:r>
              <w:rPr>
                <w:b/>
                <w:bCs/>
                <w:color w:val="111111"/>
              </w:rPr>
              <w:t xml:space="preserve"> </w:t>
            </w:r>
            <w:proofErr w:type="spellStart"/>
            <w:r>
              <w:rPr>
                <w:b/>
                <w:bCs/>
                <w:color w:val="111111"/>
              </w:rPr>
              <w:t>the</w:t>
            </w:r>
            <w:proofErr w:type="spellEnd"/>
            <w:r>
              <w:rPr>
                <w:b/>
                <w:bCs/>
                <w:color w:val="111111"/>
              </w:rPr>
              <w:t xml:space="preserve"> total </w:t>
            </w:r>
            <w:proofErr w:type="spellStart"/>
            <w:r>
              <w:rPr>
                <w:b/>
                <w:bCs/>
                <w:color w:val="111111"/>
              </w:rPr>
              <w:t>laboratory</w:t>
            </w:r>
            <w:proofErr w:type="spellEnd"/>
            <w:r>
              <w:rPr>
                <w:b/>
                <w:bCs/>
                <w:color w:val="111111"/>
              </w:rPr>
              <w:t xml:space="preserve"> </w:t>
            </w:r>
            <w:proofErr w:type="spellStart"/>
            <w:r>
              <w:rPr>
                <w:b/>
                <w:bCs/>
                <w:color w:val="111111"/>
              </w:rPr>
              <w:t>testing</w:t>
            </w:r>
            <w:proofErr w:type="spellEnd"/>
            <w:r>
              <w:rPr>
                <w:b/>
                <w:bCs/>
                <w:color w:val="111111"/>
              </w:rPr>
              <w:t xml:space="preserve"> </w:t>
            </w:r>
            <w:proofErr w:type="spellStart"/>
            <w:r>
              <w:rPr>
                <w:b/>
                <w:bCs/>
                <w:color w:val="111111"/>
              </w:rPr>
              <w:t>process</w:t>
            </w:r>
            <w:proofErr w:type="spellEnd"/>
            <w:r>
              <w:rPr>
                <w:b/>
                <w:bCs/>
                <w:color w:val="111111"/>
              </w:rPr>
              <w:t xml:space="preserve">, </w:t>
            </w:r>
            <w:proofErr w:type="spellStart"/>
            <w:r>
              <w:rPr>
                <w:b/>
                <w:bCs/>
                <w:color w:val="111111"/>
              </w:rPr>
              <w:t>from</w:t>
            </w:r>
            <w:proofErr w:type="spellEnd"/>
            <w:r>
              <w:rPr>
                <w:b/>
                <w:bCs/>
                <w:color w:val="111111"/>
              </w:rPr>
              <w:t xml:space="preserve"> test </w:t>
            </w:r>
            <w:proofErr w:type="spellStart"/>
            <w:r>
              <w:rPr>
                <w:b/>
                <w:bCs/>
                <w:color w:val="111111"/>
              </w:rPr>
              <w:t>selection</w:t>
            </w:r>
            <w:proofErr w:type="spellEnd"/>
            <w:r>
              <w:rPr>
                <w:b/>
                <w:bCs/>
                <w:color w:val="111111"/>
              </w:rPr>
              <w:t xml:space="preserve"> </w:t>
            </w:r>
            <w:proofErr w:type="spellStart"/>
            <w:r>
              <w:rPr>
                <w:b/>
                <w:bCs/>
                <w:color w:val="111111"/>
              </w:rPr>
              <w:t>to</w:t>
            </w:r>
            <w:proofErr w:type="spellEnd"/>
            <w:r>
              <w:rPr>
                <w:b/>
                <w:bCs/>
                <w:color w:val="111111"/>
              </w:rPr>
              <w:t xml:space="preserve"> medical </w:t>
            </w:r>
            <w:proofErr w:type="spellStart"/>
            <w:r>
              <w:rPr>
                <w:b/>
                <w:bCs/>
                <w:color w:val="111111"/>
              </w:rPr>
              <w:t>decision-making</w:t>
            </w:r>
            <w:proofErr w:type="spellEnd"/>
            <w:r>
              <w:rPr>
                <w:b/>
                <w:bCs/>
                <w:color w:val="111111"/>
              </w:rPr>
              <w:t xml:space="preserve"> — A </w:t>
            </w:r>
            <w:proofErr w:type="spellStart"/>
            <w:r>
              <w:rPr>
                <w:b/>
                <w:bCs/>
                <w:color w:val="111111"/>
              </w:rPr>
              <w:t>review</w:t>
            </w:r>
            <w:proofErr w:type="spellEnd"/>
          </w:p>
        </w:tc>
      </w:tr>
      <w:tr w:rsidR="009016B0" w14:paraId="6D3E9FA1" w14:textId="77777777">
        <w:tc>
          <w:tcPr>
            <w:tcW w:w="0" w:type="auto"/>
            <w:tcBorders>
              <w:top w:val="single" w:sz="1" w:space="0" w:color="CCCCCC"/>
              <w:left w:val="single" w:sz="1" w:space="0" w:color="CCCCCC"/>
              <w:bottom w:val="single" w:sz="1" w:space="0" w:color="CCCCCC"/>
              <w:right w:val="single" w:sz="1" w:space="0" w:color="CCCCCC"/>
            </w:tcBorders>
            <w:shd w:val="clear" w:color="auto" w:fill="E8F8F5"/>
            <w:tcMar>
              <w:top w:w="0" w:type="dxa"/>
              <w:left w:w="160" w:type="dxa"/>
              <w:bottom w:w="60" w:type="dxa"/>
              <w:right w:w="160" w:type="dxa"/>
            </w:tcMar>
          </w:tcPr>
          <w:p w14:paraId="44A79CFE" w14:textId="77777777" w:rsidR="009016B0" w:rsidRDefault="00216800">
            <w:proofErr w:type="spellStart"/>
            <w:r>
              <w:rPr>
                <w:i/>
                <w:iCs/>
                <w:color w:val="555555"/>
                <w:sz w:val="19"/>
                <w:szCs w:val="19"/>
              </w:rPr>
              <w:t>Simundic</w:t>
            </w:r>
            <w:proofErr w:type="spellEnd"/>
            <w:r>
              <w:rPr>
                <w:i/>
                <w:iCs/>
                <w:color w:val="555555"/>
                <w:sz w:val="19"/>
                <w:szCs w:val="19"/>
              </w:rPr>
              <w:t xml:space="preserve"> AM et al. </w:t>
            </w:r>
            <w:proofErr w:type="spellStart"/>
            <w:r>
              <w:rPr>
                <w:i/>
                <w:iCs/>
                <w:color w:val="555555"/>
                <w:sz w:val="19"/>
                <w:szCs w:val="19"/>
              </w:rPr>
              <w:t>Biochemia</w:t>
            </w:r>
            <w:proofErr w:type="spellEnd"/>
            <w:r>
              <w:rPr>
                <w:i/>
                <w:iCs/>
                <w:color w:val="555555"/>
                <w:sz w:val="19"/>
                <w:szCs w:val="19"/>
              </w:rPr>
              <w:t xml:space="preserve"> Medica 2020; 30(2): 020502.</w:t>
            </w:r>
          </w:p>
        </w:tc>
      </w:tr>
      <w:tr w:rsidR="009016B0" w14:paraId="18152720" w14:textId="77777777">
        <w:tc>
          <w:tcPr>
            <w:tcW w:w="0" w:type="auto"/>
            <w:tcBorders>
              <w:top w:val="single" w:sz="1" w:space="0" w:color="CCCCCC"/>
              <w:left w:val="single" w:sz="1" w:space="0" w:color="CCCCCC"/>
              <w:bottom w:val="single" w:sz="1" w:space="0" w:color="CCCCCC"/>
              <w:right w:val="single" w:sz="1" w:space="0" w:color="CCCCCC"/>
            </w:tcBorders>
            <w:shd w:val="clear" w:color="auto" w:fill="E8F8F5"/>
            <w:tcMar>
              <w:top w:w="0" w:type="dxa"/>
              <w:left w:w="160" w:type="dxa"/>
              <w:bottom w:w="80" w:type="dxa"/>
              <w:right w:w="160" w:type="dxa"/>
            </w:tcMar>
          </w:tcPr>
          <w:p w14:paraId="167EC340" w14:textId="77777777" w:rsidR="009016B0" w:rsidRDefault="00216800">
            <w:r>
              <w:rPr>
                <w:color w:val="333333"/>
                <w:sz w:val="20"/>
                <w:szCs w:val="20"/>
              </w:rPr>
              <w:t xml:space="preserve">Artículo de revisión en acceso abierto que resume la evidencia sobre errores en el proceso de pruebas de laboratorio. Aporta el dato clave que fundamenta por qué la calidad va más allá de la </w:t>
            </w:r>
            <w:r>
              <w:rPr>
                <w:color w:val="333333"/>
                <w:sz w:val="20"/>
                <w:szCs w:val="20"/>
              </w:rPr>
              <w:lastRenderedPageBreak/>
              <w:t xml:space="preserve">técnica analítica: la gran mayoría de los errores ocurren en la fase preanalítica (61,9–68,2%), seguidos por errores </w:t>
            </w:r>
            <w:proofErr w:type="spellStart"/>
            <w:r>
              <w:rPr>
                <w:color w:val="333333"/>
                <w:sz w:val="20"/>
                <w:szCs w:val="20"/>
              </w:rPr>
              <w:t>postanalíticos</w:t>
            </w:r>
            <w:proofErr w:type="spellEnd"/>
            <w:r>
              <w:rPr>
                <w:color w:val="333333"/>
                <w:sz w:val="20"/>
                <w:szCs w:val="20"/>
              </w:rPr>
              <w:t xml:space="preserve"> (18,5–23,1%) y analíticos (13,3–15%). Es el sustento bibliográfico del caso disparador de la clase.</w:t>
            </w:r>
          </w:p>
        </w:tc>
      </w:tr>
      <w:tr w:rsidR="009016B0" w14:paraId="27E6220B" w14:textId="77777777">
        <w:tc>
          <w:tcPr>
            <w:tcW w:w="0" w:type="auto"/>
            <w:tcBorders>
              <w:top w:val="single" w:sz="1" w:space="0" w:color="CCCCCC"/>
              <w:left w:val="single" w:sz="1" w:space="0" w:color="CCCCCC"/>
              <w:bottom w:val="single" w:sz="1" w:space="0" w:color="CCCCCC"/>
              <w:right w:val="single" w:sz="1" w:space="0" w:color="CCCCCC"/>
            </w:tcBorders>
            <w:shd w:val="clear" w:color="auto" w:fill="E8F8F5"/>
            <w:tcMar>
              <w:top w:w="0" w:type="dxa"/>
              <w:left w:w="160" w:type="dxa"/>
              <w:bottom w:w="80" w:type="dxa"/>
              <w:right w:w="160" w:type="dxa"/>
            </w:tcMar>
          </w:tcPr>
          <w:p w14:paraId="7E8AA4ED" w14:textId="77777777" w:rsidR="009016B0" w:rsidRDefault="00216800">
            <w:r>
              <w:rPr>
                <w:b/>
                <w:bCs/>
                <w:color w:val="0E6655"/>
                <w:sz w:val="19"/>
                <w:szCs w:val="19"/>
              </w:rPr>
              <w:lastRenderedPageBreak/>
              <w:t xml:space="preserve">Módulos relevantes: </w:t>
            </w:r>
            <w:r>
              <w:rPr>
                <w:color w:val="333333"/>
                <w:sz w:val="19"/>
                <w:szCs w:val="19"/>
              </w:rPr>
              <w:t>Com</w:t>
            </w:r>
            <w:r>
              <w:rPr>
                <w:color w:val="333333"/>
                <w:sz w:val="19"/>
                <w:szCs w:val="19"/>
              </w:rPr>
              <w:t>plementa directamente el concepto de las tres fases del proceso analítico desarrollado en el Bloque 1 de la clase.</w:t>
            </w:r>
          </w:p>
        </w:tc>
      </w:tr>
      <w:tr w:rsidR="009016B0" w14:paraId="2BA61FFD" w14:textId="77777777">
        <w:tc>
          <w:tcPr>
            <w:tcW w:w="0" w:type="auto"/>
            <w:tcBorders>
              <w:top w:val="single" w:sz="1" w:space="0" w:color="CCCCCC"/>
              <w:left w:val="single" w:sz="1" w:space="0" w:color="CCCCCC"/>
              <w:bottom w:val="single" w:sz="1" w:space="0" w:color="CCCCCC"/>
              <w:right w:val="single" w:sz="1" w:space="0" w:color="CCCCCC"/>
            </w:tcBorders>
            <w:shd w:val="clear" w:color="auto" w:fill="E8F8F5"/>
            <w:tcMar>
              <w:top w:w="0" w:type="dxa"/>
              <w:left w:w="160" w:type="dxa"/>
              <w:bottom w:w="100" w:type="dxa"/>
              <w:right w:w="160" w:type="dxa"/>
            </w:tcMar>
          </w:tcPr>
          <w:p w14:paraId="42B4C2E8" w14:textId="77777777" w:rsidR="009016B0" w:rsidRDefault="00216800">
            <w:r>
              <w:rPr>
                <w:b/>
                <w:bCs/>
                <w:color w:val="0E6655"/>
                <w:sz w:val="19"/>
                <w:szCs w:val="19"/>
              </w:rPr>
              <w:t xml:space="preserve">Acceso: </w:t>
            </w:r>
            <w:hyperlink r:id="rId8" w:history="1">
              <w:r>
                <w:rPr>
                  <w:color w:val="1A5276"/>
                  <w:sz w:val="19"/>
                  <w:szCs w:val="19"/>
                  <w:u w:val="single"/>
                </w:rPr>
                <w:t>https://pmc.ncbi.nlm.nih.gov/articles/PMC7271754/</w:t>
              </w:r>
            </w:hyperlink>
          </w:p>
        </w:tc>
      </w:tr>
    </w:tbl>
    <w:p w14:paraId="1F26015B" w14:textId="77777777" w:rsidR="009016B0" w:rsidRDefault="009016B0"/>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9016B0" w14:paraId="231DD180" w14:textId="77777777">
        <w:tc>
          <w:tcPr>
            <w:tcW w:w="0" w:type="auto"/>
            <w:tcBorders>
              <w:top w:val="single" w:sz="1" w:space="0" w:color="CCCCCC"/>
              <w:left w:val="single" w:sz="1" w:space="0" w:color="CCCCCC"/>
              <w:bottom w:val="single" w:sz="1" w:space="0" w:color="CCCCCC"/>
              <w:right w:val="single" w:sz="1" w:space="0" w:color="CCCCCC"/>
            </w:tcBorders>
            <w:shd w:val="clear" w:color="auto" w:fill="1A5276"/>
            <w:tcMar>
              <w:top w:w="80" w:type="dxa"/>
              <w:left w:w="160" w:type="dxa"/>
              <w:bottom w:w="80" w:type="dxa"/>
              <w:right w:w="160" w:type="dxa"/>
            </w:tcMar>
          </w:tcPr>
          <w:p w14:paraId="100ECEBD" w14:textId="77777777" w:rsidR="009016B0" w:rsidRDefault="00216800">
            <w:r>
              <w:rPr>
                <w:b/>
                <w:bCs/>
                <w:color w:val="FFFFFF"/>
                <w:sz w:val="20"/>
                <w:szCs w:val="20"/>
              </w:rPr>
              <w:t>🔵</w:t>
            </w:r>
            <w:r>
              <w:rPr>
                <w:b/>
                <w:bCs/>
                <w:color w:val="FFFFFF"/>
                <w:sz w:val="20"/>
                <w:szCs w:val="20"/>
              </w:rPr>
              <w:t xml:space="preserve">  REFERENCIA</w:t>
            </w:r>
            <w:r>
              <w:rPr>
                <w:b/>
                <w:bCs/>
                <w:color w:val="FFFFFF"/>
                <w:sz w:val="20"/>
                <w:szCs w:val="20"/>
              </w:rPr>
              <w:t xml:space="preserve"> PERMANENTE · Español · Libre</w:t>
            </w:r>
          </w:p>
        </w:tc>
      </w:tr>
      <w:tr w:rsidR="009016B0" w14:paraId="35DA7EE2" w14:textId="77777777">
        <w:tc>
          <w:tcPr>
            <w:tcW w:w="0" w:type="auto"/>
            <w:tcBorders>
              <w:top w:val="single" w:sz="1" w:space="0" w:color="CCCCCC"/>
              <w:left w:val="single" w:sz="1" w:space="0" w:color="CCCCCC"/>
              <w:bottom w:val="single" w:sz="1" w:space="0" w:color="CCCCCC"/>
              <w:right w:val="single" w:sz="1" w:space="0" w:color="CCCCCC"/>
            </w:tcBorders>
            <w:shd w:val="clear" w:color="auto" w:fill="D6EAF8"/>
            <w:tcMar>
              <w:top w:w="100" w:type="dxa"/>
              <w:left w:w="160" w:type="dxa"/>
              <w:bottom w:w="60" w:type="dxa"/>
              <w:right w:w="160" w:type="dxa"/>
            </w:tcMar>
          </w:tcPr>
          <w:p w14:paraId="49FACEC0" w14:textId="77777777" w:rsidR="009016B0" w:rsidRDefault="00216800">
            <w:r>
              <w:rPr>
                <w:b/>
                <w:bCs/>
                <w:color w:val="111111"/>
              </w:rPr>
              <w:t>Portal de Sistemas de Laboratorio — OPS/OMS</w:t>
            </w:r>
          </w:p>
        </w:tc>
      </w:tr>
      <w:tr w:rsidR="009016B0" w14:paraId="7FEFA5DF" w14:textId="77777777">
        <w:tc>
          <w:tcPr>
            <w:tcW w:w="0" w:type="auto"/>
            <w:tcBorders>
              <w:top w:val="single" w:sz="1" w:space="0" w:color="CCCCCC"/>
              <w:left w:val="single" w:sz="1" w:space="0" w:color="CCCCCC"/>
              <w:bottom w:val="single" w:sz="1" w:space="0" w:color="CCCCCC"/>
              <w:right w:val="single" w:sz="1" w:space="0" w:color="CCCCCC"/>
            </w:tcBorders>
            <w:shd w:val="clear" w:color="auto" w:fill="D6EAF8"/>
            <w:tcMar>
              <w:top w:w="0" w:type="dxa"/>
              <w:left w:w="160" w:type="dxa"/>
              <w:bottom w:w="60" w:type="dxa"/>
              <w:right w:w="160" w:type="dxa"/>
            </w:tcMar>
          </w:tcPr>
          <w:p w14:paraId="1A42637E" w14:textId="77777777" w:rsidR="009016B0" w:rsidRDefault="00216800">
            <w:r>
              <w:rPr>
                <w:i/>
                <w:iCs/>
                <w:color w:val="555555"/>
                <w:sz w:val="19"/>
                <w:szCs w:val="19"/>
              </w:rPr>
              <w:t>Organización Panamericana de la Salud. Actualización permanente.</w:t>
            </w:r>
          </w:p>
        </w:tc>
      </w:tr>
      <w:tr w:rsidR="009016B0" w14:paraId="594661BB" w14:textId="77777777">
        <w:tc>
          <w:tcPr>
            <w:tcW w:w="0" w:type="auto"/>
            <w:tcBorders>
              <w:top w:val="single" w:sz="1" w:space="0" w:color="CCCCCC"/>
              <w:left w:val="single" w:sz="1" w:space="0" w:color="CCCCCC"/>
              <w:bottom w:val="single" w:sz="1" w:space="0" w:color="CCCCCC"/>
              <w:right w:val="single" w:sz="1" w:space="0" w:color="CCCCCC"/>
            </w:tcBorders>
            <w:shd w:val="clear" w:color="auto" w:fill="D6EAF8"/>
            <w:tcMar>
              <w:top w:w="0" w:type="dxa"/>
              <w:left w:w="160" w:type="dxa"/>
              <w:bottom w:w="80" w:type="dxa"/>
              <w:right w:w="160" w:type="dxa"/>
            </w:tcMar>
          </w:tcPr>
          <w:p w14:paraId="27BB58B2" w14:textId="77777777" w:rsidR="009016B0" w:rsidRDefault="00216800">
            <w:r>
              <w:rPr>
                <w:color w:val="333333"/>
                <w:sz w:val="20"/>
                <w:szCs w:val="20"/>
              </w:rPr>
              <w:t xml:space="preserve">Página institucional de OPS que concentra guías técnicas, manuales, recursos sobre CCE/PEEC y buenas prácticas </w:t>
            </w:r>
            <w:r>
              <w:rPr>
                <w:color w:val="333333"/>
                <w:sz w:val="20"/>
                <w:szCs w:val="20"/>
              </w:rPr>
              <w:t>actualizados para la región. Incluye materiales sobre programas de evaluación externa de calidad, normativa regional y educación continua. Útil como punto de consulta permanente para novedades regulatorias y técnicas.</w:t>
            </w:r>
          </w:p>
        </w:tc>
      </w:tr>
      <w:tr w:rsidR="009016B0" w14:paraId="77334724" w14:textId="77777777">
        <w:tc>
          <w:tcPr>
            <w:tcW w:w="0" w:type="auto"/>
            <w:tcBorders>
              <w:top w:val="single" w:sz="1" w:space="0" w:color="CCCCCC"/>
              <w:left w:val="single" w:sz="1" w:space="0" w:color="CCCCCC"/>
              <w:bottom w:val="single" w:sz="1" w:space="0" w:color="CCCCCC"/>
              <w:right w:val="single" w:sz="1" w:space="0" w:color="CCCCCC"/>
            </w:tcBorders>
            <w:shd w:val="clear" w:color="auto" w:fill="D6EAF8"/>
            <w:tcMar>
              <w:top w:w="0" w:type="dxa"/>
              <w:left w:w="160" w:type="dxa"/>
              <w:bottom w:w="100" w:type="dxa"/>
              <w:right w:w="160" w:type="dxa"/>
            </w:tcMar>
          </w:tcPr>
          <w:p w14:paraId="7C201E31" w14:textId="77777777" w:rsidR="009016B0" w:rsidRDefault="00216800">
            <w:r>
              <w:rPr>
                <w:b/>
                <w:bCs/>
                <w:color w:val="1A5276"/>
                <w:sz w:val="19"/>
                <w:szCs w:val="19"/>
              </w:rPr>
              <w:t xml:space="preserve">Acceso: </w:t>
            </w:r>
            <w:hyperlink r:id="rId9" w:history="1">
              <w:r>
                <w:rPr>
                  <w:color w:val="1A5276"/>
                  <w:sz w:val="19"/>
                  <w:szCs w:val="19"/>
                  <w:u w:val="single"/>
                </w:rPr>
                <w:t>https://www.paho.org/es/temas/sistemas-laboratorio</w:t>
              </w:r>
            </w:hyperlink>
          </w:p>
        </w:tc>
      </w:tr>
    </w:tbl>
    <w:p w14:paraId="053D2E56" w14:textId="77777777" w:rsidR="009016B0" w:rsidRDefault="009016B0"/>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9016B0" w14:paraId="5A18BC1E" w14:textId="77777777">
        <w:tc>
          <w:tcPr>
            <w:tcW w:w="0" w:type="auto"/>
            <w:tcBorders>
              <w:top w:val="single" w:sz="1" w:space="0" w:color="CCCCCC"/>
              <w:left w:val="single" w:sz="1" w:space="0" w:color="CCCCCC"/>
              <w:bottom w:val="single" w:sz="1" w:space="0" w:color="CCCCCC"/>
              <w:right w:val="single" w:sz="1" w:space="0" w:color="CCCCCC"/>
            </w:tcBorders>
            <w:shd w:val="clear" w:color="auto" w:fill="1A5276"/>
            <w:tcMar>
              <w:top w:w="80" w:type="dxa"/>
              <w:left w:w="160" w:type="dxa"/>
              <w:bottom w:w="80" w:type="dxa"/>
              <w:right w:w="160" w:type="dxa"/>
            </w:tcMar>
          </w:tcPr>
          <w:p w14:paraId="17274F45" w14:textId="77777777" w:rsidR="009016B0" w:rsidRDefault="00216800">
            <w:r>
              <w:rPr>
                <w:b/>
                <w:bCs/>
                <w:color w:val="FFFFFF"/>
                <w:sz w:val="20"/>
                <w:szCs w:val="20"/>
              </w:rPr>
              <w:t>🔵</w:t>
            </w:r>
            <w:r>
              <w:rPr>
                <w:b/>
                <w:bCs/>
                <w:color w:val="FFFFFF"/>
                <w:sz w:val="20"/>
                <w:szCs w:val="20"/>
              </w:rPr>
              <w:t xml:space="preserve">  LECTURA COMPLEMENTARIA · Inglés · PubMed (PMID: 20040597)</w:t>
            </w:r>
          </w:p>
        </w:tc>
      </w:tr>
      <w:tr w:rsidR="009016B0" w14:paraId="49AC2216" w14:textId="77777777">
        <w:tc>
          <w:tcPr>
            <w:tcW w:w="0" w:type="auto"/>
            <w:tcBorders>
              <w:top w:val="single" w:sz="1" w:space="0" w:color="CCCCCC"/>
              <w:left w:val="single" w:sz="1" w:space="0" w:color="CCCCCC"/>
              <w:bottom w:val="single" w:sz="1" w:space="0" w:color="CCCCCC"/>
              <w:right w:val="single" w:sz="1" w:space="0" w:color="CCCCCC"/>
            </w:tcBorders>
            <w:shd w:val="clear" w:color="auto" w:fill="D6EAF8"/>
            <w:tcMar>
              <w:top w:w="100" w:type="dxa"/>
              <w:left w:w="160" w:type="dxa"/>
              <w:bottom w:w="60" w:type="dxa"/>
              <w:right w:w="160" w:type="dxa"/>
            </w:tcMar>
          </w:tcPr>
          <w:p w14:paraId="01F5B1A1" w14:textId="77777777" w:rsidR="009016B0" w:rsidRDefault="00216800">
            <w:proofErr w:type="spellStart"/>
            <w:r>
              <w:rPr>
                <w:b/>
                <w:bCs/>
                <w:color w:val="111111"/>
              </w:rPr>
              <w:t>The</w:t>
            </w:r>
            <w:proofErr w:type="spellEnd"/>
            <w:r>
              <w:rPr>
                <w:b/>
                <w:bCs/>
                <w:color w:val="111111"/>
              </w:rPr>
              <w:t xml:space="preserve"> </w:t>
            </w:r>
            <w:proofErr w:type="spellStart"/>
            <w:r>
              <w:rPr>
                <w:b/>
                <w:bCs/>
                <w:color w:val="111111"/>
              </w:rPr>
              <w:t>detection</w:t>
            </w:r>
            <w:proofErr w:type="spellEnd"/>
            <w:r>
              <w:rPr>
                <w:b/>
                <w:bCs/>
                <w:color w:val="111111"/>
              </w:rPr>
              <w:t xml:space="preserve"> and </w:t>
            </w:r>
            <w:proofErr w:type="spellStart"/>
            <w:r>
              <w:rPr>
                <w:b/>
                <w:bCs/>
                <w:color w:val="111111"/>
              </w:rPr>
              <w:t>prevention</w:t>
            </w:r>
            <w:proofErr w:type="spellEnd"/>
            <w:r>
              <w:rPr>
                <w:b/>
                <w:bCs/>
                <w:color w:val="111111"/>
              </w:rPr>
              <w:t xml:space="preserve"> of </w:t>
            </w:r>
            <w:proofErr w:type="spellStart"/>
            <w:r>
              <w:rPr>
                <w:b/>
                <w:bCs/>
                <w:color w:val="111111"/>
              </w:rPr>
              <w:t>errors</w:t>
            </w:r>
            <w:proofErr w:type="spellEnd"/>
            <w:r>
              <w:rPr>
                <w:b/>
                <w:bCs/>
                <w:color w:val="111111"/>
              </w:rPr>
              <w:t xml:space="preserve"> in </w:t>
            </w:r>
            <w:proofErr w:type="spellStart"/>
            <w:r>
              <w:rPr>
                <w:b/>
                <w:bCs/>
                <w:color w:val="111111"/>
              </w:rPr>
              <w:t>laboratory</w:t>
            </w:r>
            <w:proofErr w:type="spellEnd"/>
            <w:r>
              <w:rPr>
                <w:b/>
                <w:bCs/>
                <w:color w:val="111111"/>
              </w:rPr>
              <w:t xml:space="preserve"> medicine</w:t>
            </w:r>
          </w:p>
        </w:tc>
      </w:tr>
      <w:tr w:rsidR="009016B0" w14:paraId="23BA152C" w14:textId="77777777">
        <w:tc>
          <w:tcPr>
            <w:tcW w:w="0" w:type="auto"/>
            <w:tcBorders>
              <w:top w:val="single" w:sz="1" w:space="0" w:color="CCCCCC"/>
              <w:left w:val="single" w:sz="1" w:space="0" w:color="CCCCCC"/>
              <w:bottom w:val="single" w:sz="1" w:space="0" w:color="CCCCCC"/>
              <w:right w:val="single" w:sz="1" w:space="0" w:color="CCCCCC"/>
            </w:tcBorders>
            <w:shd w:val="clear" w:color="auto" w:fill="D6EAF8"/>
            <w:tcMar>
              <w:top w:w="0" w:type="dxa"/>
              <w:left w:w="160" w:type="dxa"/>
              <w:bottom w:w="60" w:type="dxa"/>
              <w:right w:w="160" w:type="dxa"/>
            </w:tcMar>
          </w:tcPr>
          <w:p w14:paraId="6BA49376" w14:textId="77777777" w:rsidR="009016B0" w:rsidRDefault="00216800">
            <w:proofErr w:type="spellStart"/>
            <w:r>
              <w:rPr>
                <w:i/>
                <w:iCs/>
                <w:color w:val="555555"/>
                <w:sz w:val="19"/>
                <w:szCs w:val="19"/>
              </w:rPr>
              <w:t>Plebani</w:t>
            </w:r>
            <w:proofErr w:type="spellEnd"/>
            <w:r>
              <w:rPr>
                <w:i/>
                <w:iCs/>
                <w:color w:val="555555"/>
                <w:sz w:val="19"/>
                <w:szCs w:val="19"/>
              </w:rPr>
              <w:t xml:space="preserve"> M. </w:t>
            </w:r>
            <w:proofErr w:type="spellStart"/>
            <w:r>
              <w:rPr>
                <w:i/>
                <w:iCs/>
                <w:color w:val="555555"/>
                <w:sz w:val="19"/>
                <w:szCs w:val="19"/>
              </w:rPr>
              <w:t>Annals</w:t>
            </w:r>
            <w:proofErr w:type="spellEnd"/>
            <w:r>
              <w:rPr>
                <w:i/>
                <w:iCs/>
                <w:color w:val="555555"/>
                <w:sz w:val="19"/>
                <w:szCs w:val="19"/>
              </w:rPr>
              <w:t xml:space="preserve"> of </w:t>
            </w:r>
            <w:proofErr w:type="spellStart"/>
            <w:r>
              <w:rPr>
                <w:i/>
                <w:iCs/>
                <w:color w:val="555555"/>
                <w:sz w:val="19"/>
                <w:szCs w:val="19"/>
              </w:rPr>
              <w:t>Clinical</w:t>
            </w:r>
            <w:proofErr w:type="spellEnd"/>
            <w:r>
              <w:rPr>
                <w:i/>
                <w:iCs/>
                <w:color w:val="555555"/>
                <w:sz w:val="19"/>
                <w:szCs w:val="19"/>
              </w:rPr>
              <w:t xml:space="preserve"> </w:t>
            </w:r>
            <w:proofErr w:type="spellStart"/>
            <w:r>
              <w:rPr>
                <w:i/>
                <w:iCs/>
                <w:color w:val="555555"/>
                <w:sz w:val="19"/>
                <w:szCs w:val="19"/>
              </w:rPr>
              <w:t>Biochemistry</w:t>
            </w:r>
            <w:proofErr w:type="spellEnd"/>
            <w:r>
              <w:rPr>
                <w:i/>
                <w:iCs/>
                <w:color w:val="555555"/>
                <w:sz w:val="19"/>
                <w:szCs w:val="19"/>
              </w:rPr>
              <w:t xml:space="preserve"> 2010; 47(2): 101–110.</w:t>
            </w:r>
          </w:p>
        </w:tc>
      </w:tr>
      <w:tr w:rsidR="009016B0" w14:paraId="6B5F1430" w14:textId="77777777">
        <w:tc>
          <w:tcPr>
            <w:tcW w:w="0" w:type="auto"/>
            <w:tcBorders>
              <w:top w:val="single" w:sz="1" w:space="0" w:color="CCCCCC"/>
              <w:left w:val="single" w:sz="1" w:space="0" w:color="CCCCCC"/>
              <w:bottom w:val="single" w:sz="1" w:space="0" w:color="CCCCCC"/>
              <w:right w:val="single" w:sz="1" w:space="0" w:color="CCCCCC"/>
            </w:tcBorders>
            <w:shd w:val="clear" w:color="auto" w:fill="D6EAF8"/>
            <w:tcMar>
              <w:top w:w="0" w:type="dxa"/>
              <w:left w:w="160" w:type="dxa"/>
              <w:bottom w:w="80" w:type="dxa"/>
              <w:right w:w="160" w:type="dxa"/>
            </w:tcMar>
          </w:tcPr>
          <w:p w14:paraId="34CB03D7" w14:textId="77777777" w:rsidR="009016B0" w:rsidRDefault="00216800">
            <w:r>
              <w:rPr>
                <w:color w:val="333333"/>
                <w:sz w:val="20"/>
                <w:szCs w:val="20"/>
              </w:rPr>
              <w:t xml:space="preserve">Artículo clásico de Mario Plebani, uno de los autores de referencia en calidad de laboratorio clínico. Conciso y muy legible, presenta una síntesis de la evidencia sobre detección y prevención de </w:t>
            </w:r>
            <w:r>
              <w:rPr>
                <w:color w:val="333333"/>
                <w:sz w:val="20"/>
                <w:szCs w:val="20"/>
              </w:rPr>
              <w:t>errores a lo largo del proceso analítico total. Referenciado en prácticamente toda la literatura del área. Recomendado para quienes quieran anclar el 'para qué' de la gestión de calidad con respaldo bibliográfico sólido.</w:t>
            </w:r>
          </w:p>
        </w:tc>
      </w:tr>
      <w:tr w:rsidR="009016B0" w14:paraId="5923C93E" w14:textId="77777777">
        <w:tc>
          <w:tcPr>
            <w:tcW w:w="0" w:type="auto"/>
            <w:tcBorders>
              <w:top w:val="single" w:sz="1" w:space="0" w:color="CCCCCC"/>
              <w:left w:val="single" w:sz="1" w:space="0" w:color="CCCCCC"/>
              <w:bottom w:val="single" w:sz="1" w:space="0" w:color="CCCCCC"/>
              <w:right w:val="single" w:sz="1" w:space="0" w:color="CCCCCC"/>
            </w:tcBorders>
            <w:shd w:val="clear" w:color="auto" w:fill="D6EAF8"/>
            <w:tcMar>
              <w:top w:w="0" w:type="dxa"/>
              <w:left w:w="160" w:type="dxa"/>
              <w:bottom w:w="100" w:type="dxa"/>
              <w:right w:w="160" w:type="dxa"/>
            </w:tcMar>
          </w:tcPr>
          <w:p w14:paraId="39966169" w14:textId="77777777" w:rsidR="009016B0" w:rsidRDefault="00216800">
            <w:r>
              <w:rPr>
                <w:b/>
                <w:bCs/>
                <w:color w:val="1A5276"/>
                <w:sz w:val="19"/>
                <w:szCs w:val="19"/>
              </w:rPr>
              <w:t xml:space="preserve">Acceso: </w:t>
            </w:r>
            <w:hyperlink r:id="rId10" w:history="1">
              <w:r>
                <w:rPr>
                  <w:color w:val="1A5276"/>
                  <w:sz w:val="19"/>
                  <w:szCs w:val="19"/>
                  <w:u w:val="single"/>
                </w:rPr>
                <w:t>https://pubmed.ncbi.nlm.nih.gov/20040597/</w:t>
              </w:r>
            </w:hyperlink>
          </w:p>
        </w:tc>
      </w:tr>
    </w:tbl>
    <w:p w14:paraId="2AE625B8" w14:textId="77777777" w:rsidR="009016B0" w:rsidRDefault="009016B0"/>
    <w:p w14:paraId="5A41DC2F" w14:textId="77777777" w:rsidR="009016B0" w:rsidRDefault="00216800">
      <w:pPr>
        <w:spacing w:before="80" w:after="120"/>
      </w:pPr>
      <w:r>
        <w:rPr>
          <w:b/>
          <w:bCs/>
          <w:color w:val="0D2B45"/>
          <w:sz w:val="26"/>
          <w:szCs w:val="26"/>
        </w:rPr>
        <w:t>Ruta de lectura sugerida</w:t>
      </w:r>
    </w:p>
    <w:p w14:paraId="2BA8D6D6" w14:textId="77777777" w:rsidR="009016B0" w:rsidRDefault="009016B0">
      <w:pPr>
        <w:pBdr>
          <w:bottom w:val="single" w:sz="4" w:space="1" w:color="1A5276"/>
        </w:pBdr>
        <w:spacing w:after="80"/>
      </w:pPr>
    </w:p>
    <w:p w14:paraId="07468877" w14:textId="77777777" w:rsidR="009016B0" w:rsidRDefault="009016B0"/>
    <w:p w14:paraId="37EE03F7" w14:textId="77777777" w:rsidR="009016B0" w:rsidRDefault="00216800">
      <w:pPr>
        <w:spacing w:before="60" w:after="60"/>
        <w:ind w:left="360"/>
      </w:pPr>
      <w:r>
        <w:rPr>
          <w:b/>
          <w:bCs/>
          <w:color w:val="1A5276"/>
          <w:sz w:val="20"/>
          <w:szCs w:val="20"/>
        </w:rPr>
        <w:t xml:space="preserve">1.  </w:t>
      </w:r>
      <w:r>
        <w:rPr>
          <w:color w:val="333333"/>
          <w:sz w:val="20"/>
          <w:szCs w:val="20"/>
        </w:rPr>
        <w:t xml:space="preserve">Empezar con los Módulos 1, 2 y 3 del Curso OPS (en español, acceso inmediato). Son </w:t>
      </w:r>
      <w:proofErr w:type="spellStart"/>
      <w:r>
        <w:rPr>
          <w:color w:val="333333"/>
          <w:sz w:val="20"/>
          <w:szCs w:val="20"/>
        </w:rPr>
        <w:t>autoexplicativos</w:t>
      </w:r>
      <w:proofErr w:type="spellEnd"/>
      <w:r>
        <w:rPr>
          <w:color w:val="333333"/>
          <w:sz w:val="20"/>
          <w:szCs w:val="20"/>
        </w:rPr>
        <w:t xml:space="preserve"> y tienen actividades prácticas integradas.</w:t>
      </w:r>
    </w:p>
    <w:p w14:paraId="411AE030" w14:textId="77777777" w:rsidR="009016B0" w:rsidRDefault="00216800">
      <w:pPr>
        <w:spacing w:before="60" w:after="60"/>
        <w:ind w:left="360"/>
      </w:pPr>
      <w:r>
        <w:rPr>
          <w:b/>
          <w:bCs/>
          <w:color w:val="1A5276"/>
          <w:sz w:val="20"/>
          <w:szCs w:val="20"/>
        </w:rPr>
        <w:t xml:space="preserve">2.  </w:t>
      </w:r>
      <w:r>
        <w:rPr>
          <w:color w:val="333333"/>
          <w:sz w:val="20"/>
          <w:szCs w:val="20"/>
        </w:rPr>
        <w:t xml:space="preserve">Leer el artículo de </w:t>
      </w:r>
      <w:proofErr w:type="spellStart"/>
      <w:r>
        <w:rPr>
          <w:color w:val="333333"/>
          <w:sz w:val="20"/>
          <w:szCs w:val="20"/>
        </w:rPr>
        <w:t>Simundic</w:t>
      </w:r>
      <w:proofErr w:type="spellEnd"/>
      <w:r>
        <w:rPr>
          <w:color w:val="333333"/>
          <w:sz w:val="20"/>
          <w:szCs w:val="20"/>
        </w:rPr>
        <w:t xml:space="preserve"> et al. (2020) para entender el peso empírico de los errores pre y </w:t>
      </w:r>
      <w:proofErr w:type="spellStart"/>
      <w:r>
        <w:rPr>
          <w:color w:val="333333"/>
          <w:sz w:val="20"/>
          <w:szCs w:val="20"/>
        </w:rPr>
        <w:t>postanalíticos</w:t>
      </w:r>
      <w:proofErr w:type="spellEnd"/>
      <w:r>
        <w:rPr>
          <w:color w:val="333333"/>
          <w:sz w:val="20"/>
          <w:szCs w:val="20"/>
        </w:rPr>
        <w:t>. Es el sustento del caso disparador de la clase.</w:t>
      </w:r>
    </w:p>
    <w:p w14:paraId="3F1779E3" w14:textId="77777777" w:rsidR="009016B0" w:rsidRDefault="00216800">
      <w:pPr>
        <w:spacing w:before="60" w:after="60"/>
        <w:ind w:left="360"/>
      </w:pPr>
      <w:r>
        <w:rPr>
          <w:b/>
          <w:bCs/>
          <w:color w:val="1A5276"/>
          <w:sz w:val="20"/>
          <w:szCs w:val="20"/>
        </w:rPr>
        <w:t xml:space="preserve">3.  </w:t>
      </w:r>
      <w:r>
        <w:rPr>
          <w:color w:val="333333"/>
          <w:sz w:val="20"/>
          <w:szCs w:val="20"/>
        </w:rPr>
        <w:t xml:space="preserve">Consultar el WHO LQMS </w:t>
      </w:r>
      <w:proofErr w:type="spellStart"/>
      <w:r>
        <w:rPr>
          <w:color w:val="333333"/>
          <w:sz w:val="20"/>
          <w:szCs w:val="20"/>
        </w:rPr>
        <w:t>Handbook</w:t>
      </w:r>
      <w:proofErr w:type="spellEnd"/>
      <w:r>
        <w:rPr>
          <w:color w:val="333333"/>
          <w:sz w:val="20"/>
          <w:szCs w:val="20"/>
        </w:rPr>
        <w:t xml:space="preserve"> como referencia ampliada, especialmente los capítulos sobre do</w:t>
      </w:r>
      <w:r>
        <w:rPr>
          <w:color w:val="333333"/>
          <w:sz w:val="20"/>
          <w:szCs w:val="20"/>
        </w:rPr>
        <w:t>cumentación y evaluación del desempeño.</w:t>
      </w:r>
    </w:p>
    <w:p w14:paraId="02ABDB40" w14:textId="77777777" w:rsidR="009016B0" w:rsidRDefault="00216800">
      <w:pPr>
        <w:spacing w:before="60" w:after="60"/>
        <w:ind w:left="360"/>
      </w:pPr>
      <w:r>
        <w:rPr>
          <w:b/>
          <w:bCs/>
          <w:color w:val="1A5276"/>
          <w:sz w:val="20"/>
          <w:szCs w:val="20"/>
        </w:rPr>
        <w:t xml:space="preserve">4.  </w:t>
      </w:r>
      <w:r>
        <w:rPr>
          <w:color w:val="333333"/>
          <w:sz w:val="20"/>
          <w:szCs w:val="20"/>
        </w:rPr>
        <w:t>Guardar el Portal de OPS como marcador permanente para consultas regulatorias y actualizaciones regionales.</w:t>
      </w:r>
    </w:p>
    <w:p w14:paraId="1606DB4D" w14:textId="77777777" w:rsidR="009016B0" w:rsidRDefault="00216800">
      <w:pPr>
        <w:spacing w:before="60" w:after="60"/>
        <w:ind w:left="360"/>
      </w:pPr>
      <w:r>
        <w:rPr>
          <w:b/>
          <w:bCs/>
          <w:color w:val="1A5276"/>
          <w:sz w:val="20"/>
          <w:szCs w:val="20"/>
        </w:rPr>
        <w:t xml:space="preserve">5.  </w:t>
      </w:r>
      <w:r>
        <w:rPr>
          <w:color w:val="333333"/>
          <w:sz w:val="20"/>
          <w:szCs w:val="20"/>
        </w:rPr>
        <w:t xml:space="preserve">Leer el artículo de </w:t>
      </w:r>
      <w:proofErr w:type="spellStart"/>
      <w:r>
        <w:rPr>
          <w:color w:val="333333"/>
          <w:sz w:val="20"/>
          <w:szCs w:val="20"/>
        </w:rPr>
        <w:t>Plebani</w:t>
      </w:r>
      <w:proofErr w:type="spellEnd"/>
      <w:r>
        <w:rPr>
          <w:color w:val="333333"/>
          <w:sz w:val="20"/>
          <w:szCs w:val="20"/>
        </w:rPr>
        <w:t xml:space="preserve"> (2010) si se desea profundizar en la dimensión clínica y de seguridad de</w:t>
      </w:r>
      <w:r>
        <w:rPr>
          <w:color w:val="333333"/>
          <w:sz w:val="20"/>
          <w:szCs w:val="20"/>
        </w:rPr>
        <w:t>l paciente vinculada a los errores de laboratorio.</w:t>
      </w:r>
    </w:p>
    <w:p w14:paraId="2017E388" w14:textId="77777777" w:rsidR="009016B0" w:rsidRDefault="009016B0"/>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9016B0" w14:paraId="2B688CBC" w14:textId="77777777">
        <w:tc>
          <w:tcPr>
            <w:tcW w:w="0" w:type="auto"/>
            <w:tcBorders>
              <w:top w:val="single" w:sz="1" w:space="0" w:color="CCCCCC"/>
              <w:left w:val="single" w:sz="1" w:space="0" w:color="CCCCCC"/>
              <w:bottom w:val="single" w:sz="1" w:space="0" w:color="CCCCCC"/>
              <w:right w:val="single" w:sz="1" w:space="0" w:color="CCCCCC"/>
            </w:tcBorders>
            <w:shd w:val="clear" w:color="auto" w:fill="F8F9FA"/>
            <w:tcMar>
              <w:top w:w="100" w:type="dxa"/>
              <w:left w:w="180" w:type="dxa"/>
              <w:bottom w:w="100" w:type="dxa"/>
              <w:right w:w="180" w:type="dxa"/>
            </w:tcMar>
          </w:tcPr>
          <w:p w14:paraId="4F80989F" w14:textId="77777777" w:rsidR="009016B0" w:rsidRDefault="00216800">
            <w:r>
              <w:rPr>
                <w:b/>
                <w:bCs/>
                <w:color w:val="1A5276"/>
                <w:sz w:val="20"/>
                <w:szCs w:val="20"/>
              </w:rPr>
              <w:t>Nota sobre acceso a las normas ISO</w:t>
            </w:r>
          </w:p>
          <w:p w14:paraId="136BD8CB" w14:textId="77777777" w:rsidR="009016B0" w:rsidRDefault="00216800">
            <w:pPr>
              <w:spacing w:before="60"/>
            </w:pPr>
            <w:r>
              <w:rPr>
                <w:color w:val="555555"/>
                <w:sz w:val="19"/>
                <w:szCs w:val="19"/>
              </w:rPr>
              <w:t>Las normas ISO (9000, 9001, 15189) son documentos de pago y no están disponibles gratuitamente. Los recursos seleccionados en esta bibliografía están basados en esas nor</w:t>
            </w:r>
            <w:r>
              <w:rPr>
                <w:color w:val="555555"/>
                <w:sz w:val="19"/>
                <w:szCs w:val="19"/>
              </w:rPr>
              <w:t>mas y permiten acceder a sus conceptos centrales sin necesidad de adquirirlas. Quienes quieran consultar los textos normativos completos pueden hacerlo a través del IRAM (Instituto Argentino de Normalización y Certificación) o directamente en el sitio de I</w:t>
            </w:r>
            <w:r>
              <w:rPr>
                <w:color w:val="555555"/>
                <w:sz w:val="19"/>
                <w:szCs w:val="19"/>
              </w:rPr>
              <w:t>SO (www.iso.org).</w:t>
            </w:r>
          </w:p>
        </w:tc>
      </w:tr>
    </w:tbl>
    <w:p w14:paraId="64EBC97C" w14:textId="77777777" w:rsidR="009016B0" w:rsidRDefault="009016B0"/>
    <w:p w14:paraId="449D74EF" w14:textId="77777777" w:rsidR="009016B0" w:rsidRDefault="00216800">
      <w:pPr>
        <w:jc w:val="center"/>
      </w:pPr>
      <w:proofErr w:type="spellStart"/>
      <w:r>
        <w:rPr>
          <w:color w:val="AAAAAA"/>
          <w:sz w:val="18"/>
          <w:szCs w:val="18"/>
        </w:rPr>
        <w:t>Bioq</w:t>
      </w:r>
      <w:proofErr w:type="spellEnd"/>
      <w:r>
        <w:rPr>
          <w:color w:val="AAAAAA"/>
          <w:sz w:val="18"/>
          <w:szCs w:val="18"/>
        </w:rPr>
        <w:t>. Esp. Fernando Canna  —  M.P. 4281  |  Diplomatura Bioquímica Aplicada · Consejo de Bioquímicos de Jujuy  |  2026</w:t>
      </w:r>
    </w:p>
    <w:sectPr w:rsidR="009016B0">
      <w:pgSz w:w="11906" w:h="16838"/>
      <w:pgMar w:top="1200" w:right="1200" w:bottom="1200" w:left="120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altName w:val="Arial"/>
    <w:charset w:val="00"/>
    <w:family w:val="swiss"/>
    <w:pitch w:val="variable"/>
    <w:sig w:usb0="00000001" w:usb1="00000003" w:usb2="00000000" w:usb3="00000000" w:csb0="0000019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5DB6B96"/>
    <w:multiLevelType w:val="hybridMultilevel"/>
    <w:tmpl w:val="F260ECFA"/>
    <w:lvl w:ilvl="0" w:tplc="E1704986">
      <w:start w:val="1"/>
      <w:numFmt w:val="bullet"/>
      <w:lvlText w:val="●"/>
      <w:lvlJc w:val="left"/>
      <w:pPr>
        <w:ind w:left="720" w:hanging="360"/>
      </w:pPr>
    </w:lvl>
    <w:lvl w:ilvl="1" w:tplc="1A46335E">
      <w:start w:val="1"/>
      <w:numFmt w:val="bullet"/>
      <w:lvlText w:val="○"/>
      <w:lvlJc w:val="left"/>
      <w:pPr>
        <w:ind w:left="1440" w:hanging="360"/>
      </w:pPr>
    </w:lvl>
    <w:lvl w:ilvl="2" w:tplc="07E63DB4">
      <w:start w:val="1"/>
      <w:numFmt w:val="bullet"/>
      <w:lvlText w:val="■"/>
      <w:lvlJc w:val="left"/>
      <w:pPr>
        <w:ind w:left="2160" w:hanging="360"/>
      </w:pPr>
    </w:lvl>
    <w:lvl w:ilvl="3" w:tplc="80245C9C">
      <w:start w:val="1"/>
      <w:numFmt w:val="bullet"/>
      <w:lvlText w:val="●"/>
      <w:lvlJc w:val="left"/>
      <w:pPr>
        <w:ind w:left="2880" w:hanging="360"/>
      </w:pPr>
    </w:lvl>
    <w:lvl w:ilvl="4" w:tplc="4CC8F9B8">
      <w:start w:val="1"/>
      <w:numFmt w:val="bullet"/>
      <w:lvlText w:val="○"/>
      <w:lvlJc w:val="left"/>
      <w:pPr>
        <w:ind w:left="3600" w:hanging="360"/>
      </w:pPr>
    </w:lvl>
    <w:lvl w:ilvl="5" w:tplc="9A369C1C">
      <w:start w:val="1"/>
      <w:numFmt w:val="bullet"/>
      <w:lvlText w:val="■"/>
      <w:lvlJc w:val="left"/>
      <w:pPr>
        <w:ind w:left="4320" w:hanging="360"/>
      </w:pPr>
    </w:lvl>
    <w:lvl w:ilvl="6" w:tplc="76785EF6">
      <w:start w:val="1"/>
      <w:numFmt w:val="bullet"/>
      <w:lvlText w:val="●"/>
      <w:lvlJc w:val="left"/>
      <w:pPr>
        <w:ind w:left="5040" w:hanging="360"/>
      </w:pPr>
    </w:lvl>
    <w:lvl w:ilvl="7" w:tplc="6CD6AAE0">
      <w:start w:val="1"/>
      <w:numFmt w:val="bullet"/>
      <w:lvlText w:val="●"/>
      <w:lvlJc w:val="left"/>
      <w:pPr>
        <w:ind w:left="5760" w:hanging="360"/>
      </w:pPr>
    </w:lvl>
    <w:lvl w:ilvl="8" w:tplc="D1A09D1E">
      <w:start w:val="1"/>
      <w:numFmt w:val="bullet"/>
      <w:lvlText w:val="●"/>
      <w:lvlJc w:val="left"/>
      <w:pPr>
        <w:ind w:left="6480" w:hanging="360"/>
      </w:pPr>
    </w:lvl>
  </w:abstractNum>
  <w:abstractNum w:abstractNumId="1">
    <w:nsid w:val="586F672A"/>
    <w:multiLevelType w:val="hybridMultilevel"/>
    <w:tmpl w:val="14D8FF74"/>
    <w:lvl w:ilvl="0" w:tplc="B4E092E2">
      <w:start w:val="1"/>
      <w:numFmt w:val="decimal"/>
      <w:lvlText w:val="%1."/>
      <w:lvlJc w:val="left"/>
      <w:pPr>
        <w:ind w:left="720" w:hanging="360"/>
      </w:pPr>
    </w:lvl>
    <w:lvl w:ilvl="1" w:tplc="4F585154">
      <w:numFmt w:val="decimal"/>
      <w:lvlText w:val=""/>
      <w:lvlJc w:val="left"/>
    </w:lvl>
    <w:lvl w:ilvl="2" w:tplc="83642E00">
      <w:numFmt w:val="decimal"/>
      <w:lvlText w:val=""/>
      <w:lvlJc w:val="left"/>
    </w:lvl>
    <w:lvl w:ilvl="3" w:tplc="1E18EE64">
      <w:numFmt w:val="decimal"/>
      <w:lvlText w:val=""/>
      <w:lvlJc w:val="left"/>
    </w:lvl>
    <w:lvl w:ilvl="4" w:tplc="0C100C04">
      <w:numFmt w:val="decimal"/>
      <w:lvlText w:val=""/>
      <w:lvlJc w:val="left"/>
    </w:lvl>
    <w:lvl w:ilvl="5" w:tplc="71EE1746">
      <w:numFmt w:val="decimal"/>
      <w:lvlText w:val=""/>
      <w:lvlJc w:val="left"/>
    </w:lvl>
    <w:lvl w:ilvl="6" w:tplc="5DD41010">
      <w:numFmt w:val="decimal"/>
      <w:lvlText w:val=""/>
      <w:lvlJc w:val="left"/>
    </w:lvl>
    <w:lvl w:ilvl="7" w:tplc="B3045248">
      <w:numFmt w:val="decimal"/>
      <w:lvlText w:val=""/>
      <w:lvlJc w:val="left"/>
    </w:lvl>
    <w:lvl w:ilvl="8" w:tplc="241A6962">
      <w:numFmt w:val="decimal"/>
      <w:lvlText w:val=""/>
      <w:lvlJc w:val="left"/>
    </w:lvl>
  </w:abstractNum>
  <w:num w:numId="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16B0"/>
    <w:rsid w:val="00216800"/>
    <w:rsid w:val="003B4980"/>
    <w:rsid w:val="00861F5A"/>
    <w:rsid w:val="009016B0"/>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2C07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2"/>
        <w:szCs w:val="22"/>
        <w:lang w:val="es-AR" w:eastAsia="es-A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uiPriority w:val="9"/>
    <w:qFormat/>
    <w:pPr>
      <w:outlineLvl w:val="0"/>
    </w:pPr>
    <w:rPr>
      <w:color w:val="2E74B5"/>
      <w:sz w:val="32"/>
      <w:szCs w:val="32"/>
    </w:rPr>
  </w:style>
  <w:style w:type="paragraph" w:styleId="Ttulo2">
    <w:name w:val="heading 2"/>
    <w:uiPriority w:val="9"/>
    <w:semiHidden/>
    <w:unhideWhenUsed/>
    <w:qFormat/>
    <w:pPr>
      <w:outlineLvl w:val="1"/>
    </w:pPr>
    <w:rPr>
      <w:color w:val="2E74B5"/>
      <w:sz w:val="26"/>
      <w:szCs w:val="26"/>
    </w:rPr>
  </w:style>
  <w:style w:type="paragraph" w:styleId="Ttulo3">
    <w:name w:val="heading 3"/>
    <w:uiPriority w:val="9"/>
    <w:semiHidden/>
    <w:unhideWhenUsed/>
    <w:qFormat/>
    <w:pPr>
      <w:outlineLvl w:val="2"/>
    </w:pPr>
    <w:rPr>
      <w:color w:val="1F4D78"/>
      <w:sz w:val="24"/>
      <w:szCs w:val="24"/>
    </w:rPr>
  </w:style>
  <w:style w:type="paragraph" w:styleId="Ttulo4">
    <w:name w:val="heading 4"/>
    <w:uiPriority w:val="9"/>
    <w:semiHidden/>
    <w:unhideWhenUsed/>
    <w:qFormat/>
    <w:pPr>
      <w:outlineLvl w:val="3"/>
    </w:pPr>
    <w:rPr>
      <w:i/>
      <w:iCs/>
      <w:color w:val="2E74B5"/>
    </w:rPr>
  </w:style>
  <w:style w:type="paragraph" w:styleId="Ttulo5">
    <w:name w:val="heading 5"/>
    <w:uiPriority w:val="9"/>
    <w:semiHidden/>
    <w:unhideWhenUsed/>
    <w:qFormat/>
    <w:pPr>
      <w:outlineLvl w:val="4"/>
    </w:pPr>
    <w:rPr>
      <w:color w:val="2E74B5"/>
    </w:rPr>
  </w:style>
  <w:style w:type="paragraph" w:styleId="Ttulo6">
    <w:name w:val="heading 6"/>
    <w:uiPriority w:val="9"/>
    <w:semiHidden/>
    <w:unhideWhenUsed/>
    <w:qFormat/>
    <w:pPr>
      <w:outlineLvl w:val="5"/>
    </w:pPr>
    <w:rPr>
      <w:color w:val="1F4D7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uiPriority w:val="10"/>
    <w:qFormat/>
    <w:rPr>
      <w:sz w:val="56"/>
      <w:szCs w:val="56"/>
    </w:rPr>
  </w:style>
  <w:style w:type="paragraph" w:customStyle="1" w:styleId="Fuerte1">
    <w:name w:val="Fuerte1"/>
    <w:qFormat/>
    <w:rPr>
      <w:b/>
      <w:bCs/>
    </w:rPr>
  </w:style>
  <w:style w:type="paragraph" w:styleId="Prrafodelista">
    <w:name w:val="List Paragraph"/>
    <w:qFormat/>
  </w:style>
  <w:style w:type="character" w:styleId="Hipervnculo">
    <w:name w:val="Hyperlink"/>
    <w:uiPriority w:val="99"/>
    <w:unhideWhenUsed/>
    <w:rPr>
      <w:color w:val="0563C1"/>
      <w:u w:val="single"/>
    </w:rPr>
  </w:style>
  <w:style w:type="character" w:styleId="Refdenotaalpie">
    <w:name w:val="footnote reference"/>
    <w:uiPriority w:val="99"/>
    <w:semiHidden/>
    <w:unhideWhenUsed/>
    <w:rPr>
      <w:vertAlign w:val="superscript"/>
    </w:rPr>
  </w:style>
  <w:style w:type="paragraph" w:styleId="Textonotapie">
    <w:name w:val="footnote text"/>
    <w:link w:val="TextonotapieCar"/>
    <w:uiPriority w:val="99"/>
    <w:semiHidden/>
    <w:unhideWhenUsed/>
    <w:rPr>
      <w:sz w:val="20"/>
      <w:szCs w:val="20"/>
    </w:rPr>
  </w:style>
  <w:style w:type="character" w:customStyle="1" w:styleId="TextonotapieCar">
    <w:name w:val="Texto nota pie Car"/>
    <w:link w:val="Textonotapie"/>
    <w:uiPriority w:val="99"/>
    <w:semiHidden/>
    <w:unhideWhenUsed/>
    <w:rPr>
      <w:sz w:val="20"/>
      <w:szCs w:val="20"/>
    </w:rPr>
  </w:style>
  <w:style w:type="character" w:styleId="Refdenotaalfinal">
    <w:name w:val="endnote reference"/>
    <w:uiPriority w:val="99"/>
    <w:semiHidden/>
    <w:unhideWhenUsed/>
    <w:rPr>
      <w:vertAlign w:val="superscript"/>
    </w:rPr>
  </w:style>
  <w:style w:type="paragraph" w:styleId="Textonotaalfinal">
    <w:name w:val="endnote text"/>
    <w:link w:val="TextonotaalfinalCar"/>
    <w:uiPriority w:val="99"/>
    <w:semiHidden/>
    <w:unhideWhenUsed/>
    <w:rPr>
      <w:sz w:val="20"/>
      <w:szCs w:val="20"/>
    </w:rPr>
  </w:style>
  <w:style w:type="character" w:customStyle="1" w:styleId="TextonotaalfinalCar">
    <w:name w:val="Texto nota al final Car"/>
    <w:link w:val="Textonotaalfinal"/>
    <w:uiPriority w:val="99"/>
    <w:semiHidden/>
    <w:unhideWhenUsed/>
    <w:rPr>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es-AR" w:eastAsia="es-A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uiPriority w:val="9"/>
    <w:qFormat/>
    <w:pPr>
      <w:outlineLvl w:val="0"/>
    </w:pPr>
    <w:rPr>
      <w:color w:val="2E74B5"/>
      <w:sz w:val="32"/>
      <w:szCs w:val="32"/>
    </w:rPr>
  </w:style>
  <w:style w:type="paragraph" w:styleId="Ttulo2">
    <w:name w:val="heading 2"/>
    <w:uiPriority w:val="9"/>
    <w:semiHidden/>
    <w:unhideWhenUsed/>
    <w:qFormat/>
    <w:pPr>
      <w:outlineLvl w:val="1"/>
    </w:pPr>
    <w:rPr>
      <w:color w:val="2E74B5"/>
      <w:sz w:val="26"/>
      <w:szCs w:val="26"/>
    </w:rPr>
  </w:style>
  <w:style w:type="paragraph" w:styleId="Ttulo3">
    <w:name w:val="heading 3"/>
    <w:uiPriority w:val="9"/>
    <w:semiHidden/>
    <w:unhideWhenUsed/>
    <w:qFormat/>
    <w:pPr>
      <w:outlineLvl w:val="2"/>
    </w:pPr>
    <w:rPr>
      <w:color w:val="1F4D78"/>
      <w:sz w:val="24"/>
      <w:szCs w:val="24"/>
    </w:rPr>
  </w:style>
  <w:style w:type="paragraph" w:styleId="Ttulo4">
    <w:name w:val="heading 4"/>
    <w:uiPriority w:val="9"/>
    <w:semiHidden/>
    <w:unhideWhenUsed/>
    <w:qFormat/>
    <w:pPr>
      <w:outlineLvl w:val="3"/>
    </w:pPr>
    <w:rPr>
      <w:i/>
      <w:iCs/>
      <w:color w:val="2E74B5"/>
    </w:rPr>
  </w:style>
  <w:style w:type="paragraph" w:styleId="Ttulo5">
    <w:name w:val="heading 5"/>
    <w:uiPriority w:val="9"/>
    <w:semiHidden/>
    <w:unhideWhenUsed/>
    <w:qFormat/>
    <w:pPr>
      <w:outlineLvl w:val="4"/>
    </w:pPr>
    <w:rPr>
      <w:color w:val="2E74B5"/>
    </w:rPr>
  </w:style>
  <w:style w:type="paragraph" w:styleId="Ttulo6">
    <w:name w:val="heading 6"/>
    <w:uiPriority w:val="9"/>
    <w:semiHidden/>
    <w:unhideWhenUsed/>
    <w:qFormat/>
    <w:pPr>
      <w:outlineLvl w:val="5"/>
    </w:pPr>
    <w:rPr>
      <w:color w:val="1F4D7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uiPriority w:val="10"/>
    <w:qFormat/>
    <w:rPr>
      <w:sz w:val="56"/>
      <w:szCs w:val="56"/>
    </w:rPr>
  </w:style>
  <w:style w:type="paragraph" w:customStyle="1" w:styleId="Fuerte1">
    <w:name w:val="Fuerte1"/>
    <w:qFormat/>
    <w:rPr>
      <w:b/>
      <w:bCs/>
    </w:rPr>
  </w:style>
  <w:style w:type="paragraph" w:styleId="Prrafodelista">
    <w:name w:val="List Paragraph"/>
    <w:qFormat/>
  </w:style>
  <w:style w:type="character" w:styleId="Hipervnculo">
    <w:name w:val="Hyperlink"/>
    <w:uiPriority w:val="99"/>
    <w:unhideWhenUsed/>
    <w:rPr>
      <w:color w:val="0563C1"/>
      <w:u w:val="single"/>
    </w:rPr>
  </w:style>
  <w:style w:type="character" w:styleId="Refdenotaalpie">
    <w:name w:val="footnote reference"/>
    <w:uiPriority w:val="99"/>
    <w:semiHidden/>
    <w:unhideWhenUsed/>
    <w:rPr>
      <w:vertAlign w:val="superscript"/>
    </w:rPr>
  </w:style>
  <w:style w:type="paragraph" w:styleId="Textonotapie">
    <w:name w:val="footnote text"/>
    <w:link w:val="TextonotapieCar"/>
    <w:uiPriority w:val="99"/>
    <w:semiHidden/>
    <w:unhideWhenUsed/>
    <w:rPr>
      <w:sz w:val="20"/>
      <w:szCs w:val="20"/>
    </w:rPr>
  </w:style>
  <w:style w:type="character" w:customStyle="1" w:styleId="TextonotapieCar">
    <w:name w:val="Texto nota pie Car"/>
    <w:link w:val="Textonotapie"/>
    <w:uiPriority w:val="99"/>
    <w:semiHidden/>
    <w:unhideWhenUsed/>
    <w:rPr>
      <w:sz w:val="20"/>
      <w:szCs w:val="20"/>
    </w:rPr>
  </w:style>
  <w:style w:type="character" w:styleId="Refdenotaalfinal">
    <w:name w:val="endnote reference"/>
    <w:uiPriority w:val="99"/>
    <w:semiHidden/>
    <w:unhideWhenUsed/>
    <w:rPr>
      <w:vertAlign w:val="superscript"/>
    </w:rPr>
  </w:style>
  <w:style w:type="paragraph" w:styleId="Textonotaalfinal">
    <w:name w:val="endnote text"/>
    <w:link w:val="TextonotaalfinalCar"/>
    <w:uiPriority w:val="99"/>
    <w:semiHidden/>
    <w:unhideWhenUsed/>
    <w:rPr>
      <w:sz w:val="20"/>
      <w:szCs w:val="20"/>
    </w:rPr>
  </w:style>
  <w:style w:type="character" w:customStyle="1" w:styleId="TextonotaalfinalCar">
    <w:name w:val="Texto nota al final Car"/>
    <w:link w:val="Textonotaalfinal"/>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https://pmc.ncbi.nlm.nih.gov/articles/PMC7271754/" TargetMode="External"/><Relationship Id="rId3" Type="http://schemas.microsoft.com/office/2007/relationships/stylesWithEffects" Target="stylesWithEffects.xml"/><Relationship Id="rId7" Type="http://schemas.openxmlformats.org/officeDocument/2006/relationships/hyperlink" Target="https://stacks.cdc.gov/view/cdc/12202"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iris.paho.org/handle/10665.2/31168"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pubmed.ncbi.nlm.nih.gov/20040597/" TargetMode="External"/><Relationship Id="rId4" Type="http://schemas.openxmlformats.org/officeDocument/2006/relationships/settings" Target="settings.xml"/><Relationship Id="rId9" Type="http://schemas.openxmlformats.org/officeDocument/2006/relationships/hyperlink" Target="https://www.paho.org/es/temas/sistemas-laboratorio"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940</Words>
  <Characters>5172</Characters>
  <Application>Microsoft Office Word</Application>
  <DocSecurity>0</DocSecurity>
  <Lines>43</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6100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Cesar</cp:lastModifiedBy>
  <cp:revision>2</cp:revision>
  <dcterms:created xsi:type="dcterms:W3CDTF">2026-05-04T10:46:00Z</dcterms:created>
  <dcterms:modified xsi:type="dcterms:W3CDTF">2026-05-04T10:46:00Z</dcterms:modified>
</cp:coreProperties>
</file>