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FABD5" w14:textId="6D7CA0E6" w:rsidR="00FB4CCD" w:rsidRPr="00B625FD" w:rsidRDefault="00794811" w:rsidP="00B6216F">
      <w:pPr>
        <w:jc w:val="both"/>
        <w:rPr>
          <w:b/>
          <w:bCs/>
          <w:i/>
          <w:iCs/>
          <w:color w:val="EE0000"/>
          <w:sz w:val="24"/>
          <w:szCs w:val="24"/>
          <w:u w:val="single"/>
        </w:rPr>
      </w:pPr>
      <w:r w:rsidRPr="00B625FD">
        <w:rPr>
          <w:b/>
          <w:bCs/>
          <w:i/>
          <w:iCs/>
          <w:color w:val="EE0000"/>
          <w:sz w:val="24"/>
          <w:szCs w:val="24"/>
          <w:u w:val="single"/>
        </w:rPr>
        <w:t>Introducción y visión general de la clasificación de las neoplasias linfoides</w:t>
      </w:r>
      <w:r w:rsidR="00B6216F" w:rsidRPr="00B625FD">
        <w:rPr>
          <w:b/>
          <w:bCs/>
          <w:i/>
          <w:iCs/>
          <w:color w:val="EE0000"/>
          <w:sz w:val="24"/>
          <w:szCs w:val="24"/>
          <w:u w:val="single"/>
        </w:rPr>
        <w:t xml:space="preserve"> (WHO 2017)</w:t>
      </w:r>
    </w:p>
    <w:p w14:paraId="38BD469B" w14:textId="77777777" w:rsidR="00794811" w:rsidRPr="00B625FD" w:rsidRDefault="00794811" w:rsidP="00B6216F">
      <w:pPr>
        <w:jc w:val="both"/>
        <w:rPr>
          <w:b/>
          <w:bCs/>
          <w:color w:val="262626" w:themeColor="text1" w:themeTint="D9"/>
          <w:u w:val="single"/>
        </w:rPr>
      </w:pPr>
      <w:r w:rsidRPr="00B625FD">
        <w:rPr>
          <w:b/>
          <w:bCs/>
          <w:color w:val="262626" w:themeColor="text1" w:themeTint="D9"/>
          <w:u w:val="single"/>
        </w:rPr>
        <w:t>Definición</w:t>
      </w:r>
    </w:p>
    <w:p w14:paraId="504A8D03" w14:textId="77777777" w:rsidR="00794811" w:rsidRPr="00794811" w:rsidRDefault="00794811" w:rsidP="00B6216F">
      <w:pPr>
        <w:jc w:val="both"/>
        <w:rPr>
          <w:color w:val="262626" w:themeColor="text1" w:themeTint="D9"/>
        </w:rPr>
      </w:pPr>
      <w:r w:rsidRPr="00794811">
        <w:rPr>
          <w:color w:val="262626" w:themeColor="text1" w:themeTint="D9"/>
        </w:rPr>
        <w:t>Las neoplasias de células B y de células T/NK son tumores clonales de células B, células T o células NK —ya sean maduras o inmaduras— que se encuentran en diversas etapas de diferenciación. Dado que las células NK están estrechamente relacionadas con las células T y comparten con ellas algunas propiedades inmunofenotípicas y funcionales, ambos tipos de neoplasias se estudian conjuntamente.</w:t>
      </w:r>
    </w:p>
    <w:p w14:paraId="1E4CA1B6" w14:textId="57108AB9" w:rsidR="00794811" w:rsidRDefault="00794811" w:rsidP="00B6216F">
      <w:pPr>
        <w:jc w:val="both"/>
        <w:rPr>
          <w:color w:val="262626" w:themeColor="text1" w:themeTint="D9"/>
        </w:rPr>
      </w:pPr>
      <w:r w:rsidRPr="00794811">
        <w:rPr>
          <w:color w:val="262626" w:themeColor="text1" w:themeTint="D9"/>
        </w:rPr>
        <w:t>En muchos aspectos, las neoplasias de células B y de células T parecen reproducir las etapas de la diferenciación normal de los linfocitos B o T; por ello, hasta cierto punto, pueden clasificarse según la etapa normal correspondiente. Sin embargo, algunas neoplasias frecuentes de células B (como la leucemia de células peludas) no se corresponden claramente con ninguna etapa normal de diferenciación de los linfocitos B. Algunas neoplasias presentan heterogeneidad de linaje o, con menor frecuencia, plasticidad de linaje {1819, 2431}. Por consiguiente, la contrapartida normal de la célula neoplásica no puede constituir la única base para su clasificación.</w:t>
      </w:r>
    </w:p>
    <w:p w14:paraId="62ADBA13" w14:textId="77777777" w:rsidR="00794811" w:rsidRPr="00B625FD" w:rsidRDefault="00794811" w:rsidP="00B6216F">
      <w:pPr>
        <w:jc w:val="both"/>
        <w:rPr>
          <w:b/>
          <w:bCs/>
          <w:color w:val="262626" w:themeColor="text1" w:themeTint="D9"/>
          <w:u w:val="single"/>
        </w:rPr>
      </w:pPr>
      <w:r w:rsidRPr="00B625FD">
        <w:rPr>
          <w:b/>
          <w:bCs/>
          <w:color w:val="262626" w:themeColor="text1" w:themeTint="D9"/>
          <w:u w:val="single"/>
        </w:rPr>
        <w:t>Patobiología de las neoplasias linfoides y del sistema inmunitario normal</w:t>
      </w:r>
    </w:p>
    <w:p w14:paraId="3DC866E9" w14:textId="77777777" w:rsidR="00794811" w:rsidRPr="00794811" w:rsidRDefault="00794811" w:rsidP="00B6216F">
      <w:pPr>
        <w:jc w:val="both"/>
        <w:rPr>
          <w:color w:val="262626" w:themeColor="text1" w:themeTint="D9"/>
        </w:rPr>
      </w:pPr>
      <w:r w:rsidRPr="00794811">
        <w:rPr>
          <w:color w:val="262626" w:themeColor="text1" w:themeTint="D9"/>
        </w:rPr>
        <w:t>El sistema inmunitario consta de dos subsistemas principales que difieren en la naturaleza de sus dianas y en los tipos de respuesta inmunitaria: el sistema inmunitario innato y el adaptativo. El sistema inmunitario innato constituye una primera línea de defensa, una respuesta primitiva. Entre las células del sistema inmunitario innato se incluyen las células NK, los linfocitos T CD3+ CD56+ (linfocitos T de tipo NK) y los linfocitos T gamma-delta. Estas células desempeñan un papel en la inmunidad de barrera, que comprende las defensas mucosas y cutáneas. No necesitan encontrar antígenos en el contexto de moléculas del complejo mayor de histocompatibilidad (CMH) y, por tanto, no requieren células presentadoras de antígenos para iniciar una respuesta inmunitaria.</w:t>
      </w:r>
    </w:p>
    <w:p w14:paraId="08DAE3BF" w14:textId="4C20C3B9" w:rsidR="00794811" w:rsidRDefault="00794811" w:rsidP="00B6216F">
      <w:pPr>
        <w:jc w:val="both"/>
        <w:rPr>
          <w:color w:val="262626" w:themeColor="text1" w:themeTint="D9"/>
        </w:rPr>
      </w:pPr>
      <w:r w:rsidRPr="00794811">
        <w:rPr>
          <w:color w:val="262626" w:themeColor="text1" w:themeTint="D9"/>
        </w:rPr>
        <w:t>El sistema inmunitario adaptativo proporciona un tipo de respuesta inmunitaria más sofisticado; dos de sus características clave son la especificidad frente al antígeno y la memoria. Esto contrasta con la respuesta inmunitaria innata, que es inespecífica y no requiere ni genera memoria inmunológica.</w:t>
      </w:r>
    </w:p>
    <w:p w14:paraId="350C47F4" w14:textId="77777777" w:rsidR="00F26EEC" w:rsidRPr="00F26EEC" w:rsidRDefault="00F26EEC" w:rsidP="00B6216F">
      <w:pPr>
        <w:jc w:val="both"/>
        <w:rPr>
          <w:i/>
          <w:iCs/>
          <w:color w:val="262626" w:themeColor="text1" w:themeTint="D9"/>
        </w:rPr>
      </w:pPr>
      <w:r w:rsidRPr="00F26EEC">
        <w:rPr>
          <w:i/>
          <w:iCs/>
          <w:color w:val="262626" w:themeColor="text1" w:themeTint="D9"/>
        </w:rPr>
        <w:t>Linfomas de células B: diferenciación y función de los linfocitos B</w:t>
      </w:r>
    </w:p>
    <w:p w14:paraId="3331267F" w14:textId="77777777" w:rsidR="00F26EEC" w:rsidRPr="00F26EEC" w:rsidRDefault="00F26EEC" w:rsidP="00B6216F">
      <w:pPr>
        <w:jc w:val="both"/>
        <w:rPr>
          <w:color w:val="262626" w:themeColor="text1" w:themeTint="D9"/>
        </w:rPr>
      </w:pPr>
      <w:r w:rsidRPr="00F26EEC">
        <w:rPr>
          <w:color w:val="262626" w:themeColor="text1" w:themeTint="D9"/>
        </w:rPr>
        <w:t>Las neoplasias de células B tienden a imitar diversas etapas de la diferenciación normal de las células B, y esta semejanza con las etapas celulares normales constituye una base fundamental para su clasificación y nomenclatura. La diferenciación normal de las células B comienza con los linfoblastos B, los cuales experimentan el reordenamiento génico VDJ de las inmunoglobulinas (Ig) y se diferencian en células B vírgenes maduras positivas para inmunoglobulina de superficie (sIg) (IgM+ IgD+), pasando por estadios intermedios como las células pre-B (con cadenas pesadas mu citoplasmáticas) y las células B inmaduras IgM+.</w:t>
      </w:r>
    </w:p>
    <w:p w14:paraId="7F9E9B38" w14:textId="77777777" w:rsidR="00F26EEC" w:rsidRPr="00F26EEC" w:rsidRDefault="00F26EEC" w:rsidP="00B6216F">
      <w:pPr>
        <w:jc w:val="both"/>
        <w:rPr>
          <w:color w:val="262626" w:themeColor="text1" w:themeTint="D9"/>
        </w:rPr>
      </w:pPr>
      <w:r w:rsidRPr="00F26EEC">
        <w:rPr>
          <w:color w:val="262626" w:themeColor="text1" w:themeTint="D9"/>
        </w:rPr>
        <w:t>Las células B vírgenes, que a menudo son positivas para CD5, son linfocitos pequeños en reposo que circulan en la sangre periférica y ocupan también los folículos linfoides primarios y las zonas del manto folicular (las llamadas células B recirculantes) {1758, 2032}. Se considera que muchos casos de linfoma de células del manto corresponden a células B vírgenes CD5+ {1733}, aunque también existen variantes con mutaciones somáticas {1187}.</w:t>
      </w:r>
    </w:p>
    <w:p w14:paraId="7153DFC5" w14:textId="0A95215E" w:rsidR="00794811" w:rsidRDefault="00F26EEC" w:rsidP="00B6216F">
      <w:pPr>
        <w:jc w:val="both"/>
        <w:rPr>
          <w:color w:val="262626" w:themeColor="text1" w:themeTint="D9"/>
        </w:rPr>
      </w:pPr>
      <w:r w:rsidRPr="00F26EEC">
        <w:rPr>
          <w:color w:val="262626" w:themeColor="text1" w:themeTint="D9"/>
        </w:rPr>
        <w:lastRenderedPageBreak/>
        <w:t>Al encontrar un antígeno que encaja con sus receptores de Ig</w:t>
      </w:r>
      <w:r w:rsidR="00AD4972">
        <w:rPr>
          <w:color w:val="262626" w:themeColor="text1" w:themeTint="D9"/>
        </w:rPr>
        <w:t>s</w:t>
      </w:r>
      <w:r w:rsidRPr="00F26EEC">
        <w:rPr>
          <w:color w:val="262626" w:themeColor="text1" w:themeTint="D9"/>
        </w:rPr>
        <w:t>, las células B vírgenes sufren una transformación, proliferan y, finalmente, maduran hasta convertirse en células plasmáticas secretoras de anticuerpos y en células B de memoria. Las células transformadas derivadas de células B vírgenes que han encontrado un antígeno pueden madurar directamente en células plasmáticas que producen la respuesta inicial de anticuerpos IgM frente al antígeno. La maduración independiente de células T puede ocurrir fuera del centro germinal {721}. Otras células B expuestas al antígeno migran hacia el centro de un folículo primario, proliferan y ocupan la red de células dendríticas foliculares, formando un centro germinal {2374, 2427}. Los centroblastos del centro germinal expresan niveles bajos de Ig</w:t>
      </w:r>
      <w:r w:rsidR="0060338C">
        <w:rPr>
          <w:color w:val="262626" w:themeColor="text1" w:themeTint="D9"/>
        </w:rPr>
        <w:t>s</w:t>
      </w:r>
      <w:r w:rsidRPr="00F26EEC">
        <w:rPr>
          <w:color w:val="262626" w:themeColor="text1" w:themeTint="D9"/>
        </w:rPr>
        <w:t xml:space="preserve"> y desactivan la expresión de BCL2; por consiguiente, tanto ellos como su progenie son susceptibles a la apoptosis {3329}. Los centroblastos expresan CD10 y BCL6, un factor de transcripción nuclear que también expresan los centrocitos. BCL6 no se expresa en las células B vírgenes y se desactiva en las células B de memoria y en las células plasmáticas {3483, 3199}. Entre los marcadores del centro germinal descritos más recientemente se incluyen LMO2 y HGAL. LM02 se expresa en precursores hematopoyéticos de la médula ósea, pero parece ser específico de las células B del centro germinal en tejidos linfoides reactivos normales {2840}; carece de esta especificidad en las neoplasias linfoides {35}. HGAL (también denominado GCET2) se expresa en células B del centro germinal y en neoplasias derivadas del centro germinal {3043}.</w:t>
      </w:r>
      <w:r>
        <w:rPr>
          <w:color w:val="262626" w:themeColor="text1" w:themeTint="D9"/>
        </w:rPr>
        <w:t xml:space="preserve"> </w:t>
      </w:r>
    </w:p>
    <w:p w14:paraId="42EAFB84" w14:textId="77777777" w:rsidR="00F26EEC" w:rsidRPr="00F26EEC" w:rsidRDefault="00F26EEC" w:rsidP="00B6216F">
      <w:pPr>
        <w:jc w:val="both"/>
        <w:rPr>
          <w:color w:val="262626" w:themeColor="text1" w:themeTint="D9"/>
        </w:rPr>
      </w:pPr>
      <w:r w:rsidRPr="00F26EEC">
        <w:rPr>
          <w:color w:val="262626" w:themeColor="text1" w:themeTint="D9"/>
        </w:rPr>
        <w:t>En el centro germinal, se produce hipermutación somática en los genes IGV; estas mutaciones pueden dar lugar a un gen no funcional o a un gen que codifica un anticuerpo con menor o mayor afinidad por el antígeno.</w:t>
      </w:r>
    </w:p>
    <w:p w14:paraId="582D0779" w14:textId="0E87117C" w:rsidR="00F26EEC" w:rsidRDefault="00F26EEC" w:rsidP="00B6216F">
      <w:pPr>
        <w:jc w:val="both"/>
        <w:rPr>
          <w:color w:val="262626" w:themeColor="text1" w:themeTint="D9"/>
        </w:rPr>
      </w:pPr>
      <w:r w:rsidRPr="00F26EEC">
        <w:rPr>
          <w:color w:val="262626" w:themeColor="text1" w:themeTint="D9"/>
        </w:rPr>
        <w:t>Asimismo, en el centro germinal, algunas células cambian la producción de IgM por la de IgG o IgA. Mediante estos mecanismos, la reacción del centro germinal genera anticuerpos IgG o IgA de mayor afinidad, característicos de la respuesta inmunitaria primaria tardía o de la respuesta secundaria {2428}. El gen BCL6 también experimenta mutación somática en el centro germinal, aunque con una frecuencia menor que los genes IG {3084}. La mutación continua de los genes IGV,</w:t>
      </w:r>
      <w:r w:rsidR="0060338C">
        <w:rPr>
          <w:color w:val="262626" w:themeColor="text1" w:themeTint="D9"/>
        </w:rPr>
        <w:t xml:space="preserve"> </w:t>
      </w:r>
      <w:r w:rsidRPr="00F26EEC">
        <w:rPr>
          <w:color w:val="262626" w:themeColor="text1" w:themeTint="D9"/>
        </w:rPr>
        <w:t xml:space="preserve">que genera diversidad intraclonal, es un rasgo distintivo de las células del centro germinal; tanto las mutaciones de los genes IGV como las de BCL6 sirven como marcadores de células que han pasado por el centro germinal. La mayoría de los linfomas difusos de células B grandes (LDCBG) están compuestos por células que, al menos en parte, se asemejan a los centroblastos y presentan genes IGV mutados, lo que concuerda con un origen a partir de células que han estado expuestas al entorno del centro germinal. Las células del linfoma de Burkitt son positivas para BCL6 y presentan genes IGH mutados; por ello, se considera que también corresponden a células blásticas del centro germinal. </w:t>
      </w:r>
      <w:r w:rsidR="0004504E" w:rsidRPr="0004504E">
        <w:rPr>
          <w:color w:val="262626" w:themeColor="text1" w:themeTint="D9"/>
        </w:rPr>
        <w:t>Tanto el linfoma de Burkitt como el linfoma difuso de células B grandes (DLBCL) se originan a partir de células en proliferación y son tumores clínicamente agresivos. Los centroblastos maduran a centrocitos, células que se observan predominantemente en la zona clara del centro germinal. Los centrocitos expresan inmunoglobulinas de superficie (Ig</w:t>
      </w:r>
      <w:r w:rsidR="0060338C">
        <w:rPr>
          <w:color w:val="262626" w:themeColor="text1" w:themeTint="D9"/>
        </w:rPr>
        <w:t>s</w:t>
      </w:r>
      <w:r w:rsidR="0004504E" w:rsidRPr="0004504E">
        <w:rPr>
          <w:color w:val="262626" w:themeColor="text1" w:themeTint="D9"/>
        </w:rPr>
        <w:t xml:space="preserve">) cuyo sitio de unión al anticuerpo está alterado con respecto al de sus células progenitoras, debido tanto a mutaciones somáticas como al cambio de clase de la cadena pesada. Aquellos centrocitos con mutaciones que conllevan una mayor afinidad se salvan de la apoptosis y reexpresan BCL2 {2427}. Mediante la interacción con moléculas de superficie de las células dendríticas foliculares y de los linfocitos T (p. ej., CD23 y el ligando de CD40), los centrocitos desactivan la expresión de BCL6 {584, 3199} y se diferencian en linfocitos B de memoria o en células plasmáticas {2427}. BCL6 e IRF4 (también denominado MUM1) presentan una expresión recíproca; IRF4 se expresa en los centrocitos tardíos y en las células plasmáticas {1141, 3483}. IRF4 desempeña un papel fundamental en la regulación a la baja de la expresión de BCL6 {3483}. Estudios recientes indican que MYC cumple una función importante </w:t>
      </w:r>
      <w:r w:rsidR="0004504E" w:rsidRPr="0004504E">
        <w:rPr>
          <w:color w:val="262626" w:themeColor="text1" w:themeTint="D9"/>
        </w:rPr>
        <w:lastRenderedPageBreak/>
        <w:t>en la formación del centro germinal (1020). La expresión de MYC aumenta tras la interacción de los linfocitos B vírgenes con el antígeno y los linfocitos T —mediada por la acción de BCL6— y resulta esencial para la formación del centro germinal. En los ganglios linfáticos reactivos normales, la tinción para MYC revela una población de centrocitos en la zona clara del centro germinal, mientras que su expresión está reprimida en la zona oscura. No obstante, MYC vuelve a expresarse en una subpoblación de linfocitos B de la zona clara (centrocitos), lo que permite su reentrada en la zona oscura y el mantenimiento de la reacción del centro germinal (1020). Los linfomas foliculares son tumores derivados de linfocitos B del centro germinal (centrocitos y centroblastos) en los que las células del centro germinal no sufren apoptosis; en la mayoría de los casos, esto se debe a una reordenación cromosómica, t(14;18), que impide la desactivación normal de la expresión de BCL2. Por lo general, los centrocitos predominan sobre los centroblastos, y estas neoplasias tienden a tener un curso indolente.</w:t>
      </w:r>
    </w:p>
    <w:p w14:paraId="31CB9A95" w14:textId="58C3C45A" w:rsidR="0004504E" w:rsidRDefault="0004504E" w:rsidP="00B6216F">
      <w:pPr>
        <w:jc w:val="both"/>
        <w:rPr>
          <w:color w:val="262626" w:themeColor="text1" w:themeTint="D9"/>
        </w:rPr>
      </w:pPr>
      <w:r w:rsidRPr="0004504E">
        <w:rPr>
          <w:color w:val="262626" w:themeColor="text1" w:themeTint="D9"/>
        </w:rPr>
        <w:t>Las células B de memoria post-centro germinal circulan en la sangre periférica y constituyen al menos una parte de las células presentes en las zonas marginales foliculares de los ganglios linfáticos, el bazo y el tejido linfoide asociado a mucosas (MALT). Las células B de la zona marginal de este compartimento expresan típicamente antígenos pan-B e IgM de superficie (con niveles bajos de IgD), y carecen tanto de CD5 como de CD10 (3749, 4124). Las células plasmáticas generadas en el centro germinal pasan a la sangre periférica y migran hacia la médula ósea. Contienen predominantemente IgG o IgA; carecen de inmunoglobulina de superficie (sIg) y CD20, pero expresan IRF4, CD79a, CD38 y CD138. Tanto las células B de memoria como las células plasmáticas de larga vida poseen genes IGV mutados, pero no continúan experimentando mutaciones. Las células B post-centro germinal conservan la capacidad de migrar a los tejidos donde recibieron estimulación antigénica —probablemente mediante la expresión de integrinas de superficie—, de modo que las células B originadas en el MALT tienden a regresar allí, mientras que las surgidas en los ganglios linfáticos migran a sitios ganglionares y a la médula ósea. Los linfomas de la zona marginal de tipo MALT, esplénico y ganglionar corresponden a células B de memoria post-centro germinal de tipo zona marginal que derivan de tejidos extraganglionares, esplénicos y ganglionares, respectivamente, y proliferan específicamente en ellos. El mieloma de células plasmáticas corresponde a una célula plasmática que migra a la médula ósea.</w:t>
      </w:r>
    </w:p>
    <w:p w14:paraId="3FD763A4" w14:textId="77777777" w:rsidR="0004504E" w:rsidRPr="0004504E" w:rsidRDefault="0004504E" w:rsidP="00B6216F">
      <w:pPr>
        <w:jc w:val="both"/>
        <w:rPr>
          <w:i/>
          <w:iCs/>
          <w:color w:val="262626" w:themeColor="text1" w:themeTint="D9"/>
        </w:rPr>
      </w:pPr>
      <w:r w:rsidRPr="0004504E">
        <w:rPr>
          <w:i/>
          <w:iCs/>
          <w:color w:val="262626" w:themeColor="text1" w:themeTint="D9"/>
        </w:rPr>
        <w:t>Linfomas de células T: diferenciación y función de los linfocitos</w:t>
      </w:r>
    </w:p>
    <w:p w14:paraId="45166DC8" w14:textId="77777777" w:rsidR="0004504E" w:rsidRPr="0004504E" w:rsidRDefault="0004504E" w:rsidP="00B6216F">
      <w:pPr>
        <w:jc w:val="both"/>
        <w:rPr>
          <w:color w:val="262626" w:themeColor="text1" w:themeTint="D9"/>
        </w:rPr>
      </w:pPr>
      <w:r w:rsidRPr="0004504E">
        <w:rPr>
          <w:color w:val="262626" w:themeColor="text1" w:themeTint="D9"/>
        </w:rPr>
        <w:t>Los linfocitos T se originan a partir de un precursor de la médula ósea que experimenta maduración y adquiere funcionalidad en la glándula del timo. Las células T específicas para antígenos maduran en la corteza tímica. Las células T que reconocen péptidos propios son eliminadas mediante apoptosis, en un proceso mediado por células epiteliales corticales y células nodrizas tímicas. Los timocitos corticales presentan un fenotipo de célula T inmadura y expresan TdT, CD1a, CD3, CD5 y CD7. El CD3 se expresa inicialmente en el citoplasma, antes de la reordenación completa de los genes del receptor de células T (TR) y su exportación a la membrana celular. Inicialmente, los timocitos corticales son doble negativos para CD4 y CD8. Estos antígenos se coexpresan en los timocitos en maduración; las células T más maduras expresan únicamente CD4 o CD8. Estas diversas etapas de maduración de las células T se reflejan en la leucemia/linfoma linfoblástico T.</w:t>
      </w:r>
    </w:p>
    <w:p w14:paraId="087E7E62" w14:textId="77777777" w:rsidR="0004504E" w:rsidRPr="0004504E" w:rsidRDefault="0004504E" w:rsidP="00B6216F">
      <w:pPr>
        <w:jc w:val="both"/>
        <w:rPr>
          <w:color w:val="262626" w:themeColor="text1" w:themeTint="D9"/>
        </w:rPr>
      </w:pPr>
      <w:r w:rsidRPr="0004504E">
        <w:rPr>
          <w:color w:val="262626" w:themeColor="text1" w:themeTint="D9"/>
        </w:rPr>
        <w:t xml:space="preserve">Los timocitos medulares presentan un fenotipo similar al de las células T maduras de los órganos linfoides periféricos. Existen dos clases de células T: células T alfa-beta y células T gamma-delta. Esta distinción se basa en la estructura del receptor de células T. Las cadenas alfa-beta y gamma-delta están compuestas, cada una, por una porción variable y una porción constante. Ambas se </w:t>
      </w:r>
      <w:r w:rsidRPr="0004504E">
        <w:rPr>
          <w:color w:val="262626" w:themeColor="text1" w:themeTint="D9"/>
        </w:rPr>
        <w:lastRenderedPageBreak/>
        <w:t>asocian con el complejo CD3, que contiene cadenas gamma, delta y épsilon. Las células NK no poseen un complejo receptor de células T completo; las células NK activadas expresan las cadenas épsilon y zeta del CD3 en el citoplasma.</w:t>
      </w:r>
    </w:p>
    <w:p w14:paraId="523E572C" w14:textId="77C31837" w:rsidR="0004504E" w:rsidRDefault="0004504E" w:rsidP="00B6216F">
      <w:pPr>
        <w:jc w:val="both"/>
        <w:rPr>
          <w:color w:val="262626" w:themeColor="text1" w:themeTint="D9"/>
        </w:rPr>
      </w:pPr>
      <w:r w:rsidRPr="0004504E">
        <w:rPr>
          <w:color w:val="262626" w:themeColor="text1" w:themeTint="D9"/>
        </w:rPr>
        <w:t>Expresan CD2, CD7 y, a veces, CD5, pero no CD3 en la superficie. También expresan típicamente CD16 y CD56, expresan de forma variable CD8 y contienen proteínas de gránulos citotóxicos citoplasmáticos. Las células NK eliminan sus células diana mediante citotoxicidad celular dependiente de anticuerpos o mediante un segundo mecanismo que involucra receptores de activación de células asesinas (NK) y receptores inhibidores de tipo inmunoglobulina de células asesinas. Dado que las células NK no reordenan los genes del TR, se pueden utilizar anticuerpos contra los diversos receptores de tipo inmunoglobulina de células asesinas para analizar la clonalidad en las proliferaciones de células NK.</w:t>
      </w:r>
    </w:p>
    <w:p w14:paraId="2485DCD3" w14:textId="77777777" w:rsidR="005A3B6A" w:rsidRPr="005A3B6A" w:rsidRDefault="005A3B6A" w:rsidP="00B6216F">
      <w:pPr>
        <w:jc w:val="both"/>
        <w:rPr>
          <w:color w:val="262626" w:themeColor="text1" w:themeTint="D9"/>
        </w:rPr>
      </w:pPr>
      <w:r w:rsidRPr="005A3B6A">
        <w:rPr>
          <w:color w:val="262626" w:themeColor="text1" w:themeTint="D9"/>
        </w:rPr>
        <w:t>Los receptores de tipo Toll (TLR) desempeñan un papel en las interacciones célula-célula y en la señalización. Cumplen una función crítica en el reconocimiento de agentes infecciosos, iniciando la señalización a través de NF-κB. Aunque actúan principalmente en las respuestas inmunitarias innatas, también desempeñan un papel en el sistema inmunitario adaptativo {2284}.</w:t>
      </w:r>
    </w:p>
    <w:p w14:paraId="3E7563E4" w14:textId="77777777" w:rsidR="005A3B6A" w:rsidRPr="005A3B6A" w:rsidRDefault="005A3B6A" w:rsidP="00B6216F">
      <w:pPr>
        <w:jc w:val="both"/>
        <w:rPr>
          <w:color w:val="262626" w:themeColor="text1" w:themeTint="D9"/>
        </w:rPr>
      </w:pPr>
      <w:r w:rsidRPr="005A3B6A">
        <w:rPr>
          <w:color w:val="262626" w:themeColor="text1" w:themeTint="D9"/>
        </w:rPr>
        <w:t>Los linfomas del sistema inmunitario innato presentan una localización predominantemente extraganglionar, lo que refleja la distribución de los componentes funcionales de este sistema. Resulta interesante que muchos linfomas de células T y de células NK, observados frecuentemente en niños y adultos jóvenes, se deriven de células del sistema inmunitario innato {1816}. Las neoplasias linfoides derivadas de células linfoides innatas incluyen la leucemia agresiva de células NK, el linfoma sistémico de células T positivo para VEB (virus de Epstein-Barr) de la infancia, el linfoma hepatoesplénico de células T gamma-delta y los linfomas de células T gamma-delta que a menudo surgen en localizaciones cutáneas y mucosas. Por lo general, las células T gamma-delta no expresan CD4 ni CD8; sin embargo, una subpoblación expresa CD8. Las células T gamma-delta representan menos del 5 % de todas las células T normales y presentan una distribución restringida, localizándose principalmente en la pulpa roja esplénica, el epitelio intestinal y otros sitios epiteliales. Estas localizaciones se ven afectadas con mayor frecuencia por los linfomas de células T gamma-delta, los cuales son, por lo demás, relativamente infrecuentes {150, 1299, 3850}. Las células T gamma-delta poseen un rango restringido de reconocimiento de antígenos y actúan como primera línea de defensa frente a péptidos bacterianos, tales como las proteínas de choque térmico {3850}. A menudo intervienen en las respuestas a infecciones por micobacterias y en la inmunidad de las mucosas. Las células T del sistema inmunitario adaptativo, que son heterogéneas y funcionalmente complejas, incluyen células T vírgenes (*naive*), efectoras (reguladoras y citotóxicas) y de memoria. Los linfomas de células T del sistema inmunitario adaptativo se presentan principalmente en adultos y tienen un origen predominantemente ganglionar, a diferencia de los linfomas de células T extraganglionares del sistema inmunitario innato {1816}. Las células T CD4+ son principalmente reguladoras y actúan mediante la producción de citocinas; según sus perfiles de secreción de citocinas, se dividen en dos tipos principales: células T colaboradoras 1 (Th1) y células T colaboradoras 2 (Th2). Las células Th1 secretan IL-2 e interferón gamma, pero no IL-4,</w:t>
      </w:r>
    </w:p>
    <w:p w14:paraId="3886087B" w14:textId="77777777" w:rsidR="005A3B6A" w:rsidRPr="005A3B6A" w:rsidRDefault="005A3B6A" w:rsidP="00B6216F">
      <w:pPr>
        <w:jc w:val="both"/>
        <w:rPr>
          <w:color w:val="262626" w:themeColor="text1" w:themeTint="D9"/>
        </w:rPr>
      </w:pPr>
      <w:r w:rsidRPr="005A3B6A">
        <w:rPr>
          <w:color w:val="262626" w:themeColor="text1" w:themeTint="D9"/>
        </w:rPr>
        <w:t xml:space="preserve">IL-5 ni IL-6. Por el contrario, las células Th2 secretan IL-4, IL-5, IL-6 e IL-10 {3850}. Las células Th1 brindan ayuda principalmente a otras células T y a los macrófagos, mientras que las células Th2 ayudan principalmente a las células B en la producción de anticuerpos {1758A}. Las células T CD4+ pueden actuar tanto ayudando como suprimiendo las respuestas inmunitarias, y comprenden múltiples subpoblaciones reconocidas solo recientemente. Por ejemplo, las células T reguladoras (Treg) tienen diversas funciones, entre ellas la supresión de las respuestas </w:t>
      </w:r>
      <w:r w:rsidRPr="005A3B6A">
        <w:rPr>
          <w:color w:val="262626" w:themeColor="text1" w:themeTint="D9"/>
        </w:rPr>
        <w:lastRenderedPageBreak/>
        <w:t>inmunitarias frente al cáncer y la limitación de las respuestas inflamatorias en los tejidos {2403, 4350}. Estudios recientes han identificado factores de transcripción —TBX21 (también conocido como T-BET) y GATA3— que se expresan en exceso en los linfocitos Th1 y Th2, respectivamente {1775}, y que también parecen definir subgrupos de linfomas de células T periféricas (LCTP) {1775, 4253}.</w:t>
      </w:r>
    </w:p>
    <w:p w14:paraId="116C8041" w14:textId="6E486E66" w:rsidR="0004504E" w:rsidRDefault="005A3B6A" w:rsidP="00B6216F">
      <w:pPr>
        <w:jc w:val="both"/>
        <w:rPr>
          <w:color w:val="262626" w:themeColor="text1" w:themeTint="D9"/>
        </w:rPr>
      </w:pPr>
      <w:r w:rsidRPr="005A3B6A">
        <w:rPr>
          <w:color w:val="262626" w:themeColor="text1" w:themeTint="D9"/>
        </w:rPr>
        <w:t>Las células T colaboradoras 17 (Th17) constituyen un subgrupo de células T efectoras CD4+ identificado más recientemente. Se caracterizan por la expresión de citocinas de la familia IL-17 y desempeñan un papel en enfermedades inflamatorias mediadas por el sistema inmunitario</w:t>
      </w:r>
      <w:r>
        <w:rPr>
          <w:color w:val="262626" w:themeColor="text1" w:themeTint="D9"/>
        </w:rPr>
        <w:t xml:space="preserve"> </w:t>
      </w:r>
      <w:r w:rsidRPr="005A3B6A">
        <w:rPr>
          <w:color w:val="262626" w:themeColor="text1" w:themeTint="D9"/>
        </w:rPr>
        <w:t>y en otras afecciones {3834}.</w:t>
      </w:r>
    </w:p>
    <w:p w14:paraId="5DE9D280" w14:textId="77777777" w:rsidR="00B6216F" w:rsidRPr="00B6216F" w:rsidRDefault="00B6216F" w:rsidP="00B6216F">
      <w:pPr>
        <w:jc w:val="both"/>
        <w:rPr>
          <w:color w:val="262626" w:themeColor="text1" w:themeTint="D9"/>
        </w:rPr>
      </w:pPr>
      <w:r w:rsidRPr="00B6216F">
        <w:rPr>
          <w:color w:val="262626" w:themeColor="text1" w:themeTint="D9"/>
        </w:rPr>
        <w:t>Se ha avanzado mucho en el conocimiento de una subpoblación única de linfocitos T CD4+ presente en el centro germinal normal. Estas células, denominadas linfocitos T cooperadores foliculares (TFH), prestan ayuda a los linfocitos B en el contexto de la reacción del centro germinal {1067,1469,2993}. Presentan un fenotipo singular, ya que expresan los marcadores del centro germinal BCL6 y CD10, los cuales también se encuentran habitualmente en los linfocitos B de dicha estructura. Los linfocitos TFH también expresan</w:t>
      </w:r>
    </w:p>
    <w:p w14:paraId="6E3D5077" w14:textId="77777777" w:rsidR="00B6216F" w:rsidRPr="00B6216F" w:rsidRDefault="00B6216F" w:rsidP="00B6216F">
      <w:pPr>
        <w:jc w:val="both"/>
        <w:rPr>
          <w:color w:val="262626" w:themeColor="text1" w:themeTint="D9"/>
        </w:rPr>
      </w:pPr>
      <w:r w:rsidRPr="00B6216F">
        <w:rPr>
          <w:color w:val="262626" w:themeColor="text1" w:themeTint="D9"/>
        </w:rPr>
        <w:t>CD4, CD57 y CD279/PD1, y producen la quimiocina CXCL13 y su receptor CXCR5. La CXCL13 induce la formación y proliferación de células dendríticas foliculares y facilita la migración hacia el centro germinal de linfocitos B y T que expresan CXCR5. El aumento de la expresión de CXCL13 en el linfoma de linfocitos T angioinmunoblástico (AITL) es un hallazgo que ayuda a vincular muchas de sus características clínicas y patológicas {1067,1469, 2993}. Cabe destacar que el AITL se asocia a hipergammaglobulinemia policlonal y a la expansión y proliferación tanto de</w:t>
      </w:r>
    </w:p>
    <w:p w14:paraId="4816E66F" w14:textId="4144C883" w:rsidR="005A3B6A" w:rsidRDefault="00B6216F" w:rsidP="00B6216F">
      <w:pPr>
        <w:jc w:val="both"/>
        <w:rPr>
          <w:color w:val="262626" w:themeColor="text1" w:themeTint="D9"/>
        </w:rPr>
      </w:pPr>
      <w:r w:rsidRPr="00B6216F">
        <w:rPr>
          <w:color w:val="262626" w:themeColor="text1" w:themeTint="D9"/>
        </w:rPr>
        <w:t>linfocitos B como de células dendríticas foliculares CD21+ en el ganglio linfático. Otros linfomas de linfocitos T periféricos (PTCL) ganglionares presentan un fenotipo de linfocito TFH y comparten numerosos rasgos genéticos con el AITL {178}. No obstante, también se observa un fenotipo de linfocito TFH en una enfermedad muy distinta: el trastorno linfoproliferativo cutáneo primario de linfocitos T CD4+ de células pequeñas/medianas. Un linfocito T CD4+ con propiedades muy diferentes es el linfocito T regulador (Treg), cuya función consiste en detener y suprimir las respuestas inmunitarias {3715}. Se considera que esta célula desempeña un papel importante en la prevención de la autoinmunidad. Los linfocitos Treg expresan CD25 a alta densidad y el factor de transcripción FOXP3, junto con CD4. La leucemia/linfoma de linfocitos T del adulto (ATLL) se ha relacionado con los linfocitos Treg debido a la expresión tanto de CD25 como de FOXP3; este hallazgo ayuda a explicar la marcada inmunosupresión asociada al ATLL {1948,3398}.</w:t>
      </w:r>
    </w:p>
    <w:p w14:paraId="04F7DA1B" w14:textId="06683D24" w:rsidR="00B6216F" w:rsidRDefault="00B6216F" w:rsidP="00B6216F">
      <w:pPr>
        <w:jc w:val="both"/>
        <w:rPr>
          <w:color w:val="262626" w:themeColor="text1" w:themeTint="D9"/>
        </w:rPr>
      </w:pPr>
      <w:r w:rsidRPr="00B6216F">
        <w:rPr>
          <w:color w:val="262626" w:themeColor="text1" w:themeTint="D9"/>
        </w:rPr>
        <w:t>Estudios recientes han intentado relacionar las manifestaciones patológicas o clínicas de los linfomas de células T con la expresión de citocinas o quimiocinas por parte de las células neoplásicas o de las células accesorias acompañantes en el ganglio linfático. Por ejemplo, la hipercalcemia asociada a la ATLL se ha vinculado a la secreción de factores con actividad activadora de osteoclastos {2896A}. El síndrome hemofagocítico observado en algunas neoplasias de células T y células NK se ha asociado a la secreción tanto de citocinas como de quimiocinas, en un contexto de función citolítica deficiente {1834, 2011, 2970}.</w:t>
      </w:r>
    </w:p>
    <w:p w14:paraId="783EFB62" w14:textId="77777777" w:rsidR="00B625FD" w:rsidRDefault="00B625FD" w:rsidP="00110143">
      <w:pPr>
        <w:jc w:val="both"/>
        <w:rPr>
          <w:b/>
          <w:bCs/>
          <w:color w:val="262626" w:themeColor="text1" w:themeTint="D9"/>
          <w:u w:val="single"/>
        </w:rPr>
      </w:pPr>
    </w:p>
    <w:p w14:paraId="7E15ED90" w14:textId="77777777" w:rsidR="00C7345F" w:rsidRDefault="00C7345F" w:rsidP="00110143">
      <w:pPr>
        <w:jc w:val="both"/>
        <w:rPr>
          <w:b/>
          <w:bCs/>
          <w:color w:val="262626" w:themeColor="text1" w:themeTint="D9"/>
          <w:u w:val="single"/>
        </w:rPr>
      </w:pPr>
    </w:p>
    <w:p w14:paraId="3A4D40BE" w14:textId="77777777" w:rsidR="00B625FD" w:rsidRDefault="00B625FD" w:rsidP="00110143">
      <w:pPr>
        <w:jc w:val="both"/>
        <w:rPr>
          <w:b/>
          <w:bCs/>
          <w:color w:val="262626" w:themeColor="text1" w:themeTint="D9"/>
          <w:u w:val="single"/>
        </w:rPr>
      </w:pPr>
    </w:p>
    <w:p w14:paraId="4D6CF140" w14:textId="233EC661" w:rsidR="00110143" w:rsidRPr="00B625FD" w:rsidRDefault="00110143" w:rsidP="00110143">
      <w:pPr>
        <w:jc w:val="both"/>
        <w:rPr>
          <w:b/>
          <w:bCs/>
          <w:color w:val="262626" w:themeColor="text1" w:themeTint="D9"/>
          <w:u w:val="single"/>
        </w:rPr>
      </w:pPr>
      <w:r w:rsidRPr="00B625FD">
        <w:rPr>
          <w:b/>
          <w:bCs/>
          <w:color w:val="262626" w:themeColor="text1" w:themeTint="D9"/>
          <w:u w:val="single"/>
        </w:rPr>
        <w:lastRenderedPageBreak/>
        <w:t>Genética</w:t>
      </w:r>
    </w:p>
    <w:p w14:paraId="67701324" w14:textId="77777777" w:rsidR="00110143" w:rsidRPr="00110143" w:rsidRDefault="00110143" w:rsidP="00110143">
      <w:pPr>
        <w:jc w:val="both"/>
        <w:rPr>
          <w:color w:val="262626" w:themeColor="text1" w:themeTint="D9"/>
        </w:rPr>
      </w:pPr>
      <w:r w:rsidRPr="00110143">
        <w:rPr>
          <w:color w:val="262626" w:themeColor="text1" w:themeTint="D9"/>
        </w:rPr>
        <w:t>Varias neoplasias de células B maduras presentan anomalías genéticas características que son importantes para determinar sus rasgos biológicos y pueden resultar útiles en el diagnóstico diferencial. Estas anomalías genéticas incluyen la t(11;14)(q13;q32) en el linfoma de células del manto, la t(14;18)(q32;q21) en el linfoma folicular, la t(8;14)(q24;q32) y sus variantes en el linfoma de Burkitt, y la t(11;18)(q21;q21) en el linfoma MALT {889,1933, 2286}. La translocación t(11;14) se observa tanto en el linfoma de células del manto como en algunos casos de mieloma de células plasmáticas; sin embargo, existen diferencias menores en la translocación que implican distintas porciones del gen IGH {350}. El paradigma más frecuente en las translocaciones que afectan al gen IGH en 14q32 consiste en que un protooncogén celular queda bajo la influencia del elemento potenciador (*enhancer*) de IGH. Por ejemplo, en el linfoma folicular, la sobreexpresión de BCL2 bloquea la apoptosis en las células B del centro germinal. La translocación t(11;18), frecuente en el linfoma MALT, da lugar a un gen de fusión en el que BIRC3 (también conocido como API2) se fusiona con las secuencias carboxilo-terminales de MALT1 {982,2406,3341, 3812}. La proteína quimérica codificada por el gen de fusión promueve la supervivencia y la proliferación celular mediante la activación de NF-kappaB {2406}. Otras translocaciones halladas en el linfoma MALT, como la t(1;14)(p22;q32) y la t(14;18)(q32;q21), actúan de manera similar al desregular los oncogenes BCL10 y MALT1, respectivamente, mediante su yuxtaposición junto al elemento potenciador de IGH.</w:t>
      </w:r>
    </w:p>
    <w:p w14:paraId="130356B4" w14:textId="519B45B0" w:rsidR="00110143" w:rsidRDefault="00110143" w:rsidP="00110143">
      <w:pPr>
        <w:jc w:val="both"/>
        <w:rPr>
          <w:color w:val="262626" w:themeColor="text1" w:themeTint="D9"/>
        </w:rPr>
      </w:pPr>
      <w:r w:rsidRPr="00110143">
        <w:rPr>
          <w:color w:val="262626" w:themeColor="text1" w:themeTint="D9"/>
        </w:rPr>
        <w:t>El número de linfomas de células T maduras con alteraciones genéticas recurrentes ha aumentado considerablemente en los últimos años gracias a la introducción de la secuenciación de nueva generación y el análisis de mutaciones. El linfoma anaplásico de células grandes ALK-positivo fue el primer linfoma de células T asociado a una aberración específica: translocaciones que implican al gen ALK en el cromosoma 2p23. El gen ALK se fusiona con diversos genes asociados —con mayor frecuencia el NPM1— como consecuencia de la translocación t(2;5)(p23;q35) {11 36,1815,2199}. El linfoma hepatoesplénico de células T de origen gamma-delta presenta mutaciones en STAT5B en aproximadamente el 35 % de los casos {2869}, y dicha mutación es recurrente en los linfomas de células T gamma-delta que afectan al tracto gastrointestinal y a la piel {2160}. La vía JAK/STAT está implicada en muchas formas de linfoma de células T, incluidos el linfoma anaplásico de células grandes (tanto ALK-positivo como ALK-negativo) y el linfoma intestinal de células T epiteliotrópico monomórfico {836, 2807}.</w:t>
      </w:r>
    </w:p>
    <w:p w14:paraId="2B5ACD6A" w14:textId="3F132A37" w:rsidR="00B625FD" w:rsidRDefault="00B625FD" w:rsidP="00B625FD">
      <w:pPr>
        <w:jc w:val="both"/>
        <w:rPr>
          <w:color w:val="262626" w:themeColor="text1" w:themeTint="D9"/>
        </w:rPr>
      </w:pPr>
      <w:r w:rsidRPr="00B625FD">
        <w:rPr>
          <w:color w:val="262626" w:themeColor="text1" w:themeTint="D9"/>
        </w:rPr>
        <w:t>También se han aplicado otras herramientas genéticas en el estudio de las neoplasias linfoides maduras. Entre ellas figuran la hibridación genómica comparativa y técnicas más sensibles de análisis del número de copias mediante micromatrices, ambas capaces de identificar regiones de deleción o amplificación en el genoma. Las micromatrices de expresión génica permiten analizar la expresión de miles de genes a nivel de ARN, lo que ayuda a esclarecer las vías de activación y transformación {877,878,884,1208,1775,2719,3409,3538}. Más recientemente, se han empezado a estudiar las alteraciones epigenéticas que regulan la expresión de múltiples genes {2352, 3528}.</w:t>
      </w:r>
    </w:p>
    <w:p w14:paraId="48CA74AA" w14:textId="77777777" w:rsidR="00B625FD" w:rsidRPr="00B625FD" w:rsidRDefault="00B625FD" w:rsidP="00B625FD">
      <w:pPr>
        <w:jc w:val="both"/>
        <w:rPr>
          <w:b/>
          <w:bCs/>
          <w:color w:val="262626" w:themeColor="text1" w:themeTint="D9"/>
          <w:u w:val="single"/>
        </w:rPr>
      </w:pPr>
      <w:r w:rsidRPr="00B625FD">
        <w:rPr>
          <w:b/>
          <w:bCs/>
          <w:color w:val="262626" w:themeColor="text1" w:themeTint="D9"/>
          <w:u w:val="single"/>
        </w:rPr>
        <w:t>Principios de clasificación</w:t>
      </w:r>
    </w:p>
    <w:p w14:paraId="28622323" w14:textId="19E6FD91" w:rsidR="00B625FD" w:rsidRPr="00B625FD" w:rsidRDefault="00B625FD" w:rsidP="00B625FD">
      <w:pPr>
        <w:jc w:val="both"/>
        <w:rPr>
          <w:color w:val="262626" w:themeColor="text1" w:themeTint="D9"/>
        </w:rPr>
      </w:pPr>
      <w:r w:rsidRPr="00B625FD">
        <w:rPr>
          <w:color w:val="262626" w:themeColor="text1" w:themeTint="D9"/>
        </w:rPr>
        <w:t>La clasificación de las neoplasias linfoides se basa en toda la información disponible para definir las entidades patológicas {1557}. Disponer de tejido suficiente para este enfoque multiparamétrico es fundamental. Se recomienda extremar la precaución</w:t>
      </w:r>
      <w:r w:rsidR="00C7345F">
        <w:rPr>
          <w:color w:val="262626" w:themeColor="text1" w:themeTint="D9"/>
        </w:rPr>
        <w:t xml:space="preserve"> </w:t>
      </w:r>
      <w:r w:rsidRPr="00B625FD">
        <w:rPr>
          <w:color w:val="262626" w:themeColor="text1" w:themeTint="D9"/>
        </w:rPr>
        <w:t>al utilizar biopsias con aguja gruesa para el diagnóstico inicial de linfoma; la punción-aspiración con aguja fina suele ser insuficiente para este fin. La morfología y el inmunofenotipo bastan para el</w:t>
      </w:r>
      <w:r>
        <w:rPr>
          <w:color w:val="262626" w:themeColor="text1" w:themeTint="D9"/>
        </w:rPr>
        <w:t xml:space="preserve"> </w:t>
      </w:r>
      <w:r w:rsidRPr="00B625FD">
        <w:rPr>
          <w:color w:val="262626" w:themeColor="text1" w:themeTint="D9"/>
        </w:rPr>
        <w:t xml:space="preserve">diagnóstico de la </w:t>
      </w:r>
      <w:r w:rsidRPr="00B625FD">
        <w:rPr>
          <w:color w:val="262626" w:themeColor="text1" w:themeTint="D9"/>
        </w:rPr>
        <w:lastRenderedPageBreak/>
        <w:t>mayoría de las neoplasias linfoides. Sin embargo, ningún marcador antigénico es específico de una neoplasia concreta; para un diagnóstico correcto es necesaria una combinación de características morfológicas y un panel de marcadores antigénicos. La mayoría de los linfomas de células B presentan perfiles inmunofenotípicos característicos de gran utilidad diagnóstica. No obstante, la caracterización inmunofenotípica resulta algo menos útil para la subclasificación de los linfomas de células T.</w:t>
      </w:r>
    </w:p>
    <w:p w14:paraId="3E234EF0" w14:textId="27EEE3C9" w:rsidR="00B625FD" w:rsidRPr="00B625FD" w:rsidRDefault="00B625FD" w:rsidP="00B625FD">
      <w:pPr>
        <w:jc w:val="both"/>
        <w:rPr>
          <w:color w:val="262626" w:themeColor="text1" w:themeTint="D9"/>
        </w:rPr>
      </w:pPr>
      <w:r w:rsidRPr="00B625FD">
        <w:rPr>
          <w:color w:val="262626" w:themeColor="text1" w:themeTint="D9"/>
        </w:rPr>
        <w:t>Aunque ciertos antígenos se asocian habitualmente a entidades patológicas específicas, dichas asociaciones no son totalmente exclusivas de una enfermedad concreta. Por ejemplo, el CD30 es una característica universal del linfoma anaplásico de células grandes, pero también puede expresarse en otros linfomas de células T y B, así como en el linfoma de Hodgkin clásico (LHC). Del mismo modo, el CD56 es un rasgo característico del linfoma nasal de células T/NK, pero también</w:t>
      </w:r>
      <w:r>
        <w:rPr>
          <w:color w:val="262626" w:themeColor="text1" w:themeTint="D9"/>
        </w:rPr>
        <w:t xml:space="preserve"> </w:t>
      </w:r>
      <w:r w:rsidRPr="00B625FD">
        <w:rPr>
          <w:color w:val="262626" w:themeColor="text1" w:themeTint="D9"/>
        </w:rPr>
        <w:t>puede encontrarse en otros linfomas de células T, en neoplasias de células plasmáticas y en células no linfoides, como las neoplasias de células dendríticas plasmacitoides blásticas {173, 315, 746, 987, 4357}. Dentro de una misma entidad patológica, pueden observarse variaciones en las características inmunofenotípicas. Por ejemplo, la mayoría de los linfomas hepatoesplénicos de células T presentan un inmunofenotipo de células T gamma-delta, si bien algunos casos derivan de células T alfa-beta. Asimismo, algunos linfomas foliculares son negativos para CD10. Un inmunofenotipo aberrante</w:t>
      </w:r>
      <w:r>
        <w:rPr>
          <w:color w:val="262626" w:themeColor="text1" w:themeTint="D9"/>
        </w:rPr>
        <w:t xml:space="preserve"> </w:t>
      </w:r>
      <w:r w:rsidRPr="00B625FD">
        <w:rPr>
          <w:color w:val="262626" w:themeColor="text1" w:themeTint="D9"/>
        </w:rPr>
        <w:t>puede sugerir o ayudar a confirmar un diagnóstico de neoplasia maligna {1815}.</w:t>
      </w:r>
    </w:p>
    <w:p w14:paraId="124B41A0" w14:textId="6B982513" w:rsidR="00B625FD" w:rsidRDefault="00B625FD" w:rsidP="00B625FD">
      <w:pPr>
        <w:jc w:val="both"/>
        <w:rPr>
          <w:color w:val="262626" w:themeColor="text1" w:themeTint="D9"/>
        </w:rPr>
      </w:pPr>
      <w:r w:rsidRPr="00B625FD">
        <w:rPr>
          <w:color w:val="262626" w:themeColor="text1" w:themeTint="D9"/>
        </w:rPr>
        <w:t>Aunque el linaje es un rasgo definitorio de la mayoría de las neoplasias linfoides malignas, en los últimos años se ha reconocido cada vez más la plasticidad de linaje dentro del sistema hematopoyético. El cambio de linaje o la demostración de múltiples linajes se observan con mayor frecuencia en neoplasias hematolinfoides inmaduras, aunque también pueden aparecer, de forma excepcional, en linfomas maduros {772, 1172, 1536}.</w:t>
      </w:r>
    </w:p>
    <w:p w14:paraId="3A5B6FE5" w14:textId="77777777" w:rsidR="00277ED6" w:rsidRPr="00277ED6" w:rsidRDefault="00277ED6" w:rsidP="00277ED6">
      <w:pPr>
        <w:jc w:val="both"/>
        <w:rPr>
          <w:color w:val="262626" w:themeColor="text1" w:themeTint="D9"/>
        </w:rPr>
      </w:pPr>
      <w:r w:rsidRPr="00277ED6">
        <w:rPr>
          <w:color w:val="262626" w:themeColor="text1" w:themeTint="D9"/>
        </w:rPr>
        <w:t>Las características genéticas desempeñan un papel cada vez más importante en la clasificación de las neoplasias linfoides malignas. Sin embargo, la patogenia molecular de muchas formas de linfoma sigue siendo desconocida. Los estudios genéticos —en particular los análisis por PCR de los genes de inmunoglobulinas (IG) y del receptor de células T (TR), así como la técnica FISH— constituyen herramientas diagnósticas valiosas para determinar la clonalidad en proliferaciones de células B y T (lo que ayuda en el diagnóstico diferencial con la hiperplasia reactiva) y para identificar translocaciones asociadas a determinadas entidades patológicas. La identificación de la mutación *MYD88* L265P en la mayoría de los casos de linfoma linfoplasmacítico —pero solo excepcionalmente en el linfoma de la zona marginal— ha aportado nuevas herramientas para el diagnóstico {1527}. Del mismo modo, las mutaciones en *BRAF* son recurrentes en ciertas proliferaciones de células histiocíticas y dendríticas, como la histiocitosis de células de Langerhans {215} y la enfermedad de Erdheim-Chester {1102}, pero están presentes en casi todos los casos de leucemia de células peludas {3997, 3998}.</w:t>
      </w:r>
    </w:p>
    <w:p w14:paraId="60E07FD4" w14:textId="77777777" w:rsidR="00277ED6" w:rsidRPr="00277ED6" w:rsidRDefault="00277ED6" w:rsidP="00277ED6">
      <w:pPr>
        <w:jc w:val="both"/>
        <w:rPr>
          <w:color w:val="262626" w:themeColor="text1" w:themeTint="D9"/>
        </w:rPr>
      </w:pPr>
      <w:r w:rsidRPr="00277ED6">
        <w:rPr>
          <w:color w:val="262626" w:themeColor="text1" w:themeTint="D9"/>
        </w:rPr>
        <w:t>La clasificación de la OMS subraya la importancia de conocer las características clínicas, tanto para lograr un diagnóstico preciso como para definir algunas enfermedades; ejemplos de ello son la distinción entre el linfoma de la zona marginal extraganglionar de tipo MALT (linfoma MALT) y el linfoma de la zona marginal ganglionar o esplénico, entre el linfoma mediastínico primario de células B grandes (PMLBCL) y el linfoma difuso de células B grandes (DLBCL), así como en el caso de la mayoría de las neoplasias de células T y NK maduras. El diagnóstico de las neoplasias linfoides no debe realizarse de forma aislada, sino en el contexto de una historia clínica completa.</w:t>
      </w:r>
    </w:p>
    <w:p w14:paraId="6DF53149" w14:textId="1F94C77A" w:rsidR="00B625FD" w:rsidRDefault="00277ED6" w:rsidP="00277ED6">
      <w:pPr>
        <w:jc w:val="both"/>
        <w:rPr>
          <w:color w:val="262626" w:themeColor="text1" w:themeTint="D9"/>
        </w:rPr>
      </w:pPr>
      <w:r w:rsidRPr="00277ED6">
        <w:rPr>
          <w:color w:val="262626" w:themeColor="text1" w:themeTint="D9"/>
        </w:rPr>
        <w:lastRenderedPageBreak/>
        <w:t>El comportamiento clínico de las neoplasias linfoides malignas varía desde formas indolentes hasta agresivas. Dentro de una misma entidad también puede observarse una variabilidad en el comportamiento clínico, y a menudo se produce una progresión histológica o clínica a lo largo de la evolución del paciente. Por estas razones, la clasificación de la OMS no intenta estratificar las neoplasias linfoides malignas según el grado histológico o la agresividad clínica. Tanto la morfología como el inmunofenotipo suelen modificarse con el tiempo, a medida que la neoplasia linfoide experimenta una evolución clonal con la adquisición de alteraciones genéticas adicionales. La transformación puede producirse mediante una evolución divergente a partir de un precursor común o a través de una transformación lineal más directa; se han documentado ejemplos de ambos patrones {1434}. Además, la evolución a lo largo del tiempo no conduce necesariamente al desarrollo de un linfoma más agresivo. Por ejemplo, los pacientes con DLBCL pueden recaer con un linfoma folicular más indolente y clonalmente relacionado.</w:t>
      </w:r>
    </w:p>
    <w:p w14:paraId="2CC576A0" w14:textId="1D22B069" w:rsidR="00277ED6" w:rsidRDefault="00277ED6" w:rsidP="00277ED6">
      <w:pPr>
        <w:jc w:val="both"/>
        <w:rPr>
          <w:color w:val="262626" w:themeColor="text1" w:themeTint="D9"/>
        </w:rPr>
      </w:pPr>
      <w:r w:rsidRPr="00277ED6">
        <w:rPr>
          <w:color w:val="262626" w:themeColor="text1" w:themeTint="D9"/>
        </w:rPr>
        <w:t>Algunas de estas evoluciones clonales pueden ser inesperadas y no guardar una relación evidente, como el desarrollo de un plasmacitoma en un paciente con linfoma de Hodgkin clásico (LHC) {1824}. Tradicionalmente, los LHC se han considerado por separado de los denominados linfomas no Hodgkin. Sin embargo, al reconocerse que el LHC es de linaje de células B, se ha identificado una mayor superposición entre este y muchas otras formas de neoplasias malignas de células B. Esta 4.ª edición revisada de la clasificación de la OMS reconoce dichas zonas grises y permite identificar casos que sirven de puente entre estas diversas formas de linfoma {4047}. Los límites se difuminan aún más debido a entidades como el linfoma de Hodgkin de predominio linfocítico nodular, que presenta muchas características clínicas y biológicas tanto de los linfomas de Hodgkin como de los no Hodgkin.</w:t>
      </w:r>
    </w:p>
    <w:p w14:paraId="23FD0073" w14:textId="77777777" w:rsidR="005C0075" w:rsidRPr="005C0075" w:rsidRDefault="005C0075" w:rsidP="005C0075">
      <w:pPr>
        <w:jc w:val="both"/>
        <w:rPr>
          <w:b/>
          <w:bCs/>
          <w:color w:val="262626" w:themeColor="text1" w:themeTint="D9"/>
          <w:u w:val="single"/>
        </w:rPr>
      </w:pPr>
      <w:r w:rsidRPr="005C0075">
        <w:rPr>
          <w:b/>
          <w:bCs/>
          <w:color w:val="262626" w:themeColor="text1" w:themeTint="D9"/>
          <w:u w:val="single"/>
        </w:rPr>
        <w:t>Epidemiología</w:t>
      </w:r>
    </w:p>
    <w:p w14:paraId="3C070B47" w14:textId="77777777" w:rsidR="005C0075" w:rsidRPr="005C0075" w:rsidRDefault="005C0075" w:rsidP="005C0075">
      <w:pPr>
        <w:jc w:val="both"/>
        <w:rPr>
          <w:color w:val="262626" w:themeColor="text1" w:themeTint="D9"/>
        </w:rPr>
      </w:pPr>
      <w:r w:rsidRPr="005C0075">
        <w:rPr>
          <w:color w:val="262626" w:themeColor="text1" w:themeTint="D9"/>
        </w:rPr>
        <w:t>Las neoplasias linfoides precursoras, incluidas la leucemia/linfoma linfoblástico de células B y la leucemia/linfoma linfoblástico de células T, son enfermedades que afectan principalmente a niños. Alrededor del 75 % de los casos se presentan en niños menores de 6 años. Aproximadamente el 85 % de los casos que se manifiestan como leucemia linfoblástica son del tipo precursor de células B, mientras que las neoplasias linfoblásticas de tipo precursor de células T suelen presentarse con mayor frecuencia como linfoma, con masas mediastínicas. Se observa un predominio masculino en las neoplasias linfoblásticas tanto de linaje B como de linaje T.</w:t>
      </w:r>
    </w:p>
    <w:p w14:paraId="713F1EE9" w14:textId="754871EA" w:rsidR="005C0075" w:rsidRDefault="005C0075" w:rsidP="005C0075">
      <w:pPr>
        <w:jc w:val="both"/>
        <w:rPr>
          <w:color w:val="262626" w:themeColor="text1" w:themeTint="D9"/>
        </w:rPr>
      </w:pPr>
      <w:r w:rsidRPr="005C0075">
        <w:rPr>
          <w:color w:val="262626" w:themeColor="text1" w:themeTint="D9"/>
        </w:rPr>
        <w:t>Según el Informe Mundial sobre el Cáncer de 2014 (205), en 2012 se registraron 566.000 nuevos casos de linfoma y cerca de 305.000 muertes por esta causa. Las neoplasias de células B maduras constituyen más del 90 % de las neoplasias linfoides a nivel mundial (1,148) y representan aproximadamente el 4 % de todos los nuevos casos de cáncer cada año. Son más frecuentes en los países desarrollados, en particular en América del Norte, Australia, Nueva Zelanda y el norte y oeste de Europa. A escala mundial, la incidencia más elevada se registra en Israel, seguido del Líbano, Australia y los Estados Unidos. La incidencia de los linfomas, especialmente los de células B, ha aumentado en todo el mundo, aunque podría haberse estabilizado durante la última década. El Consorcio Internacional de Epidemiología de Linfomas (InterLymph) está examinando los factores asociados al aumento de la incidencia de linfomas mediante una metodología de estudio de casos y controles (2758).</w:t>
      </w:r>
    </w:p>
    <w:p w14:paraId="7D4ADBC7" w14:textId="778F66DD" w:rsidR="005C0075" w:rsidRDefault="005C0075" w:rsidP="005C0075">
      <w:pPr>
        <w:jc w:val="both"/>
        <w:rPr>
          <w:color w:val="262626" w:themeColor="text1" w:themeTint="D9"/>
        </w:rPr>
      </w:pPr>
      <w:r w:rsidRPr="005C0075">
        <w:rPr>
          <w:color w:val="262626" w:themeColor="text1" w:themeTint="D9"/>
        </w:rPr>
        <w:t xml:space="preserve">Los tipos de linfoma más frecuentes son el linfoma folicular y el linfoma difuso de células B grandes (LDCBG), que en conjunto representan más del 60 % de todos los linfomas, excluyendo el linfoma de Hodgkin y el mieloma de células plasmáticas {1,95}. La frecuencia relativa de las </w:t>
      </w:r>
      <w:r w:rsidRPr="005C0075">
        <w:rPr>
          <w:color w:val="262626" w:themeColor="text1" w:themeTint="D9"/>
        </w:rPr>
        <w:lastRenderedPageBreak/>
        <w:t>distintas neoplasias de células B varía según la región geográfica. El linfoma folicular es más frecuente en Estados Unidos (donde representa el 35 % de los linfomas no Hodgkin) y en Europa occidental, mientras que es poco común en América del Sur, Europa del Este, África y Asia. El linfoma de Burkitt es endémico en el África ecuatorial, donde constituye la neoplasia maligna infantil más frecuente, pero representa solo entre el 1 % y el 2 % de los linfomas en Estados Unidos y Europa occidental. La mediana de edad de los pacientes con neoplasias de células B maduras se sitúa en la sexta o séptima década de la vida; sin embargo, en el caso del linfoma mediastínico primario de células B grandes (LMPCBG), la mediana de edad es de unos 35 años. Entre los linfomas de células B maduras, solo el linfoma de Burkitt y el LDCBG se presentan con una frecuencia significativa en niños. La mayoría de los tipos predominan en varones (entre el 52 % y el 55 % de los casos); no obstante, el linfoma de células del manto presenta un marcado predominio masculino (el 74 % de los casos), mientras que las mujeres representan el 58 % de los casos de linfoma folicular y el 66 % de los de LMPCBG. El LMPCBG y el linfoma de Hodgkin clásico de esclerosis nodular presentan perfiles clínicos similares al momento del diagnóstico, afectando principalmente a mujeres adolescentes y adultas jóvenes. Fueron precisamente estas características clínicas compartidas las que sugirieron por primera vez una posible relación entre ambos linfomas {3412,3538,4047}. Un factor de riesgo importante conocido para las neoplasias de células B maduras parece ser una alteración del sistema inmunitario, ya sea en forma de inmunodeficiencia o de enfermedad autoinmunitaria.</w:t>
      </w:r>
    </w:p>
    <w:p w14:paraId="31D81164" w14:textId="77777777" w:rsidR="005C0075" w:rsidRPr="005C0075" w:rsidRDefault="005C0075" w:rsidP="005C0075">
      <w:pPr>
        <w:jc w:val="both"/>
        <w:rPr>
          <w:color w:val="262626" w:themeColor="text1" w:themeTint="D9"/>
        </w:rPr>
      </w:pPr>
      <w:r w:rsidRPr="005C0075">
        <w:rPr>
          <w:color w:val="262626" w:themeColor="text1" w:themeTint="D9"/>
        </w:rPr>
        <w:t>Aunque en la mayoría de los pacientes con neoplasias de células B maduras no se observan anomalías en el sistema inmunitario, los pacientes inmunodeficientes presentan una incidencia notablemente mayor de neoplasias de células B, en particular linfoma difuso de células B grandes (LDCBG) y linfoma de Burkitt {345, 547, 2819}. Entre las principales formas de inmunodeficiencia se incluyen la infección por VIH, la inmunosupresión iatrogénica para prevenir el rechazo de aloinjertos o la enfermedad de injerto contra huésped, y las inmunodeficiencias primarias. Algunas enfermedades autoinmunitarias también se asocian a un mayor riesgo de linfoma {4252}; por ejemplo, los pacientes con síndrome de Sjögren o tiroiditis de Hashimoto tienen un riesgo especialmente elevado de desarrollar linfomas de células B {1953, 1959}.</w:t>
      </w:r>
    </w:p>
    <w:p w14:paraId="492005A4" w14:textId="77777777" w:rsidR="005C0075" w:rsidRPr="005C0075" w:rsidRDefault="005C0075" w:rsidP="005C0075">
      <w:pPr>
        <w:jc w:val="both"/>
        <w:rPr>
          <w:color w:val="262626" w:themeColor="text1" w:themeTint="D9"/>
        </w:rPr>
      </w:pPr>
      <w:r w:rsidRPr="005C0075">
        <w:rPr>
          <w:color w:val="262626" w:themeColor="text1" w:themeTint="D9"/>
        </w:rPr>
        <w:t>Se han relacionado mutaciones en genes que controlan la apoptosis de los linfocitos con un mayor riesgo tanto de enfermedades autoinmunitarias como de linfomas (principalmente de células B). Los pacientes con síndrome linfoproliferativo autoinmunitario (que puede estar causado por mutaciones en la línea germinal del gen FAS) presentan un riesgo elevado de linfomas de células B y linfomas de Hodgkin {3810}. También se han descrito mutaciones somáticas del gen FAS en algunos linfomas de células B esporádicos, sobre todo en linfomas de la zona marginal {1483}. Los estudios de asociación de genoma completo han identificado un número considerable de polimorfismos de nucleótido único (SNP) asociados a un mayor riesgo de linfoma {603}. Muchos de estos polimorfismos afectan a genes inmunorreguladores {604, 2206, 4251}.</w:t>
      </w:r>
    </w:p>
    <w:p w14:paraId="6C853606" w14:textId="77777777" w:rsidR="005C0075" w:rsidRPr="005C0075" w:rsidRDefault="005C0075" w:rsidP="005C0075">
      <w:pPr>
        <w:jc w:val="both"/>
        <w:rPr>
          <w:color w:val="262626" w:themeColor="text1" w:themeTint="D9"/>
        </w:rPr>
      </w:pPr>
      <w:r w:rsidRPr="005C0075">
        <w:rPr>
          <w:color w:val="262626" w:themeColor="text1" w:themeTint="D9"/>
        </w:rPr>
        <w:t>Las neoplasias de células T y células NK maduras son relativamente poco frecuentes. En un amplio estudio internacional que evaluó casos de linfoma procedentes de Estados Unidos, Europa, Asia y Sudáfrica, las neoplasias de células T y células NK representaron solo el 12 % de todos los linfomas no Hodgkin (1). Los linfomas de células T maduras más frecuentes son el linfoma de células T periféricas no especificado (PTCL-NOS, por sus siglas en inglés), que representa el 25,9 % de los casos, y el linfoma de células T angioinmunoblástico (AITL), que supone el 18,5 % {4217}.</w:t>
      </w:r>
    </w:p>
    <w:p w14:paraId="2AB54F1C" w14:textId="4D766F07" w:rsidR="005C0075" w:rsidRDefault="005C0075" w:rsidP="005C0075">
      <w:pPr>
        <w:jc w:val="both"/>
        <w:rPr>
          <w:color w:val="262626" w:themeColor="text1" w:themeTint="D9"/>
        </w:rPr>
      </w:pPr>
      <w:r w:rsidRPr="005C0075">
        <w:rPr>
          <w:color w:val="262626" w:themeColor="text1" w:themeTint="D9"/>
        </w:rPr>
        <w:lastRenderedPageBreak/>
        <w:t>Los linfomas de células T y células NK muestran variaciones considerables en su incidencia según la región geográfica y el grupo racial. En general, los linfomas de células T son relativamente más frecuentes en Asia {4217}, debido tanto a una mayor incidencia de algunos subtipos como a una menor frecuencia relativa de ciertos linfomas de células B, como el linfoma folicular. En Japón, uno de los principales factores de riesgo para el linfoma de células T es la infección por HTLV-1. En las regiones endémicas del suroeste de Japón, la seroprevalencia del HTLV-1 es del 8-10 %. El riesgo acumulado a lo largo de la vida de desarrollar ATLL es del 6,9 % en hombres seropositivos y del 2,9 % en mujeres seropositivas {3869}. Otras regiones con una seroprevalencia de HTLV-1 relativamente alta incluyen la cuenca del Caribe, donde la población negra se ve afectada principalmente en comparación con otros grupos raciales {1818, 2287}. Las diferencias en la cepa viral también pueden influir en la incidencia de la enfermedad {796, 3869}.</w:t>
      </w:r>
    </w:p>
    <w:p w14:paraId="6746E720" w14:textId="77777777" w:rsidR="003E14AA" w:rsidRPr="003E14AA" w:rsidRDefault="003E14AA" w:rsidP="003E14AA">
      <w:pPr>
        <w:jc w:val="both"/>
        <w:rPr>
          <w:color w:val="262626" w:themeColor="text1" w:themeTint="D9"/>
        </w:rPr>
      </w:pPr>
      <w:r w:rsidRPr="003E14AA">
        <w:rPr>
          <w:color w:val="262626" w:themeColor="text1" w:themeTint="D9"/>
        </w:rPr>
        <w:t>Otro factor importante que influye en la incidencia de los linfomas de células T y células NK es la predisposición racial. Las neoplasias de células NK y células T asociadas al VEB —incluidos el linfoma extraganglionar de células NK/T tipo nasal (ENKTL), la leucemia agresiva de células NK y los linfomas pediátricos de células T y NK positivos para el VEB— son mucho más frecuentes en asiáticos que en otras poblaciones {640,780,1814,2058}.</w:t>
      </w:r>
    </w:p>
    <w:p w14:paraId="261D91AA" w14:textId="77777777" w:rsidR="003E14AA" w:rsidRPr="003E14AA" w:rsidRDefault="003E14AA" w:rsidP="003E14AA">
      <w:pPr>
        <w:jc w:val="both"/>
        <w:rPr>
          <w:color w:val="262626" w:themeColor="text1" w:themeTint="D9"/>
        </w:rPr>
      </w:pPr>
      <w:r w:rsidRPr="003E14AA">
        <w:rPr>
          <w:color w:val="262626" w:themeColor="text1" w:themeTint="D9"/>
        </w:rPr>
        <w:t>En la RAE de Hong Kong (China), el ENKTL es uno de los subtipos más frecuentes y representa el 8 % de los casos. Por el contrario, en Europa y América del Norte supone menos del 1 % de todos los linfomas. Otras poblaciones con mayor riesgo de padecer esta enfermedad son las personas de ascendencia nativa americana de América Central, América del Sur y México {275,780,3266,3269}, quienes están genéticamente emparentadas con los asiáticos {3280A}. El linfoma de células T asociado a enteropatía es más frecuente en personas de ascendencia galesa e irlandesa, que comparten haplotipos HLA asociados a un mayor riesgo de alergia a la gliadina y susceptibilidad a la enteropatía sensible al gluten {937}.</w:t>
      </w:r>
    </w:p>
    <w:p w14:paraId="125EB4B9" w14:textId="5769F4D5" w:rsidR="005C0075" w:rsidRDefault="003E14AA" w:rsidP="003E14AA">
      <w:pPr>
        <w:jc w:val="both"/>
        <w:rPr>
          <w:color w:val="262626" w:themeColor="text1" w:themeTint="D9"/>
        </w:rPr>
      </w:pPr>
      <w:r w:rsidRPr="003E14AA">
        <w:rPr>
          <w:color w:val="262626" w:themeColor="text1" w:themeTint="D9"/>
        </w:rPr>
        <w:t>Los linfomas periféricos de células T (PTCL) con fenotipo gamma-delta aparecen con mayor frecuencia en contextos de inmunosupresión (en particular, tras un trasplante de órganos), un fenómeno que aún no se comprende bien {1301,2842}. El riesgo parece aumentar debido a la combinación de dos factores: la inmunosupresión y la estimulación antigénica crónica. Los linfomas hepatoesplénicos de células T son los más frecuentes, aunque también se han descrito linfomas de células T cutáneos primarios y asociados a mucosas {150}. Datos recientes del programa SEER indican un aumento moderado de la incidencia anual de neoplasias de células T en los EE. UU., alcanzando los 2,6 casos por cada 100 000 habitantes, siendo el mayor incremento el observado en la categoría de linfoma cutáneo de células T {839,2759}.</w:t>
      </w:r>
    </w:p>
    <w:p w14:paraId="15EE5DE5" w14:textId="77777777" w:rsidR="00F55592" w:rsidRPr="00F55592" w:rsidRDefault="00F55592" w:rsidP="00F55592">
      <w:pPr>
        <w:jc w:val="both"/>
        <w:rPr>
          <w:b/>
          <w:bCs/>
          <w:color w:val="262626" w:themeColor="text1" w:themeTint="D9"/>
          <w:u w:val="single"/>
        </w:rPr>
      </w:pPr>
      <w:r w:rsidRPr="00F55592">
        <w:rPr>
          <w:b/>
          <w:bCs/>
          <w:color w:val="262626" w:themeColor="text1" w:themeTint="D9"/>
          <w:u w:val="single"/>
        </w:rPr>
        <w:t>Etiología</w:t>
      </w:r>
    </w:p>
    <w:p w14:paraId="7494DCA6" w14:textId="77777777" w:rsidR="00F55592" w:rsidRPr="00F55592" w:rsidRDefault="00F55592" w:rsidP="00F55592">
      <w:pPr>
        <w:jc w:val="both"/>
        <w:rPr>
          <w:color w:val="262626" w:themeColor="text1" w:themeTint="D9"/>
        </w:rPr>
      </w:pPr>
      <w:r w:rsidRPr="00F55592">
        <w:rPr>
          <w:color w:val="262626" w:themeColor="text1" w:themeTint="D9"/>
        </w:rPr>
        <w:t xml:space="preserve">Se ha demostrado que los agentes infecciosos contribuyen al desarrollo de varios tipos de linfomas de células B, células T y células NK maduras. El VEB está presente en casi el 100 % de los casos de linfoma de Burkitt endémico y en el 15-35 % de los casos esporádicos y asociados al VIH {1531,3238}; también participa en la patogenia de muchos linfomas de células B que surgen en pacientes inmunodeprimidos o de edad avanzada, incluidos muchos trastornos linfoproliferativos postrasplante, el linfoma plasmablástico y el linfoma difuso de células B grandes (LDCBG), no especificado (NOS), positivo para VEB. El VEB también se asocia con el linfoma de células T/NK extraganglionar (ENKTL) y con dos enfermedades pediátricas de células T: el linfoma sistémico de células T positivo para VEB de la infancia y el trastorno linfoproliferativo similar a la hidroa vacciniforme. Se desconoce la causa exacta de estas neoplasias de células T positivas para VEB en la infancia. Los factores de riesgo pueden incluir </w:t>
      </w:r>
      <w:r w:rsidRPr="00F55592">
        <w:rPr>
          <w:color w:val="262626" w:themeColor="text1" w:themeTint="D9"/>
        </w:rPr>
        <w:lastRenderedPageBreak/>
        <w:t>una carga viral elevada en el momento de la presentación o una respuesta inmunitaria defectuosa frente a la infección {3269}. La infección crónica activa por VEB puede preceder al desarrollo de algunos linfomas de células T positivos para VEB {1918,3269}. En los casos asociados a una infección crónica activa por VEB, puede observarse un proceso policlonal en las fases iniciales, con progresión hacia un linfoma de células T monoclonal positivo para VEB {1918}.</w:t>
      </w:r>
    </w:p>
    <w:p w14:paraId="2B19016B" w14:textId="60AA8EB4" w:rsidR="00F55592" w:rsidRPr="00F55592" w:rsidRDefault="00F55592" w:rsidP="00F55592">
      <w:pPr>
        <w:jc w:val="both"/>
        <w:rPr>
          <w:color w:val="262626" w:themeColor="text1" w:themeTint="D9"/>
        </w:rPr>
      </w:pPr>
      <w:r w:rsidRPr="00F55592">
        <w:rPr>
          <w:color w:val="262626" w:themeColor="text1" w:themeTint="D9"/>
        </w:rPr>
        <w:t>El HHV8 se encuentra en el linfoma de efusión primaria, la enfermedad de Castleman multicéntrica y el LDCBG (NOS) positivo para HHV8; todas estas entidades se observan principalmente en pacientes infectados por el VIH {623,1046}, aunque el virus también se ha relacionado con la enfermedad linfoproliferativa germinotropa no asociada al VIH. El HTLV-1 es el agente causal de la leucemia/linfoma de células T del adulto (ATLL) y se integra clonalmente en el genoma de las células T transformadas {796}. En esta afección, al igual que en los trastornos asociados al HHV8, se observa un espectro de comportamientos clínicos, si bien la mayoría de los casos de ATLL son neoplasias agresivas. El virus de la hepatitis C se ha relacionado con algunos casos de linfoma linfoplasmacítico asociado a crioglobulinemia de tipo II, linfoma de la zona marginal esplénico, linfoma de la zona marginal ganglionar y linfoma difuso de células B grandes (LDCBG) {32,168,909,912,1884,2589,3229,4503}. El papel del virus en la iniciación tumoral no está claro; sin embargo,</w:t>
      </w:r>
      <w:r>
        <w:rPr>
          <w:color w:val="262626" w:themeColor="text1" w:themeTint="D9"/>
        </w:rPr>
        <w:t xml:space="preserve"> </w:t>
      </w:r>
      <w:r w:rsidRPr="00F55592">
        <w:rPr>
          <w:color w:val="262626" w:themeColor="text1" w:themeTint="D9"/>
        </w:rPr>
        <w:t>no infecta directamente a las células B neoplásicas y parece influir en el desarrollo del linfoma mediante la activación de una respuesta inmunitaria de células B.</w:t>
      </w:r>
    </w:p>
    <w:p w14:paraId="49A519E2" w14:textId="04A4BD0C" w:rsidR="00F55592" w:rsidRPr="00F55592" w:rsidRDefault="00F55592" w:rsidP="00F55592">
      <w:pPr>
        <w:jc w:val="both"/>
        <w:rPr>
          <w:color w:val="262626" w:themeColor="text1" w:themeTint="D9"/>
        </w:rPr>
      </w:pPr>
      <w:r w:rsidRPr="00F55592">
        <w:rPr>
          <w:color w:val="262626" w:themeColor="text1" w:themeTint="D9"/>
        </w:rPr>
        <w:t>Las bacterias, o al menos las respuestas inmunitarias frente a antígenos bacterianos, también se han implicado en la patogenia del linfoma MALT, incluyendo *Helicobacter pylori* en el linfoma MALT gástrico {1741,2853,4366,4367}; *Borrelia burgdorferi* en el linfoma MALT cutáneo en Europa {611}; *Chlamydia psittaci*, *C. pneumoniae* y *C. trachomatis* en linfomas MALT de los anejos oculares en algunas zonas geográficas {658,3454}; *Campylobacter jejuni* en el linfoma MALT intestinal asociado a la enfermedad de cadenas pesadas alfa {3239,3298}, y *Achromobacter xylosoxidans* en linfomas MALT pulmonares {20}.</w:t>
      </w:r>
    </w:p>
    <w:p w14:paraId="5DDED615" w14:textId="77777777" w:rsidR="00F55592" w:rsidRPr="00F55592" w:rsidRDefault="00F55592" w:rsidP="00F55592">
      <w:pPr>
        <w:jc w:val="both"/>
        <w:rPr>
          <w:color w:val="262626" w:themeColor="text1" w:themeTint="D9"/>
        </w:rPr>
      </w:pPr>
      <w:r w:rsidRPr="00F55592">
        <w:rPr>
          <w:color w:val="262626" w:themeColor="text1" w:themeTint="D9"/>
        </w:rPr>
        <w:t>Las exposiciones ambientales también se han vinculado con el riesgo de desarrollar linfoma de células B. Estudios epidemiológicos han relacionado el uso de herbicidas y pesticidas con el desarrollo de linfoma folicular y LDCBG {787,1566}. La exposición a tintes capilares se identificó como un factor de riesgo en algunos estudios antiguos, pero los posibles carcinógenos se han eliminado de las formulaciones más recientes de tintes {4485}.</w:t>
      </w:r>
    </w:p>
    <w:p w14:paraId="48C7BB72" w14:textId="77777777" w:rsidR="00F55592" w:rsidRPr="00F55592" w:rsidRDefault="00F55592" w:rsidP="00F55592">
      <w:pPr>
        <w:jc w:val="both"/>
        <w:rPr>
          <w:b/>
          <w:bCs/>
          <w:color w:val="262626" w:themeColor="text1" w:themeTint="D9"/>
          <w:u w:val="single"/>
        </w:rPr>
      </w:pPr>
      <w:r w:rsidRPr="00F55592">
        <w:rPr>
          <w:b/>
          <w:bCs/>
          <w:color w:val="262626" w:themeColor="text1" w:themeTint="D9"/>
          <w:u w:val="single"/>
        </w:rPr>
        <w:t>Conclusión</w:t>
      </w:r>
    </w:p>
    <w:p w14:paraId="0878092C" w14:textId="316ED9C2" w:rsidR="003E14AA" w:rsidRPr="00794811" w:rsidRDefault="00F55592" w:rsidP="00F55592">
      <w:pPr>
        <w:jc w:val="both"/>
        <w:rPr>
          <w:color w:val="262626" w:themeColor="text1" w:themeTint="D9"/>
        </w:rPr>
      </w:pPr>
      <w:r w:rsidRPr="00F55592">
        <w:rPr>
          <w:color w:val="262626" w:themeColor="text1" w:themeTint="D9"/>
        </w:rPr>
        <w:t>El enfoque multiparamétrico de clasificación adoptado por la clasificación de la OMS ha sido validado en estudios internacionales. Es altamente reproducible y mejora la interpretación de los estudios clínicos y traslacionales. Una clasificación precisa y exacta de las entidades patológicas también facilita la determinación de las bases moleculares de las neoplasias linfoides en el laboratorio de ciencia básica {1,1815,2759}.</w:t>
      </w:r>
    </w:p>
    <w:sectPr w:rsidR="003E14AA" w:rsidRPr="007948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4811"/>
    <w:rsid w:val="0004504E"/>
    <w:rsid w:val="000D6DB3"/>
    <w:rsid w:val="00110143"/>
    <w:rsid w:val="00277ED6"/>
    <w:rsid w:val="003E14AA"/>
    <w:rsid w:val="005948B4"/>
    <w:rsid w:val="005A3B6A"/>
    <w:rsid w:val="005C0075"/>
    <w:rsid w:val="0060338C"/>
    <w:rsid w:val="00794811"/>
    <w:rsid w:val="00835134"/>
    <w:rsid w:val="00AD4972"/>
    <w:rsid w:val="00B6216F"/>
    <w:rsid w:val="00B625FD"/>
    <w:rsid w:val="00C7345F"/>
    <w:rsid w:val="00CE56CC"/>
    <w:rsid w:val="00F26EEC"/>
    <w:rsid w:val="00F55592"/>
    <w:rsid w:val="00FB4CC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E6C13D"/>
  <w15:chartTrackingRefBased/>
  <w15:docId w15:val="{F9B4697F-A161-49C8-A683-1E62D73E56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481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9481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94811"/>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94811"/>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94811"/>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9481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481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481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481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4811"/>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94811"/>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94811"/>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94811"/>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94811"/>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9481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481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481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4811"/>
    <w:rPr>
      <w:rFonts w:eastAsiaTheme="majorEastAsia" w:cstheme="majorBidi"/>
      <w:color w:val="272727" w:themeColor="text1" w:themeTint="D8"/>
    </w:rPr>
  </w:style>
  <w:style w:type="paragraph" w:styleId="Ttulo">
    <w:name w:val="Title"/>
    <w:basedOn w:val="Normal"/>
    <w:next w:val="Normal"/>
    <w:link w:val="TtuloCar"/>
    <w:uiPriority w:val="10"/>
    <w:qFormat/>
    <w:rsid w:val="0079481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481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481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481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4811"/>
    <w:pPr>
      <w:spacing w:before="160"/>
      <w:jc w:val="center"/>
    </w:pPr>
    <w:rPr>
      <w:i/>
      <w:iCs/>
      <w:color w:val="404040" w:themeColor="text1" w:themeTint="BF"/>
    </w:rPr>
  </w:style>
  <w:style w:type="character" w:customStyle="1" w:styleId="CitaCar">
    <w:name w:val="Cita Car"/>
    <w:basedOn w:val="Fuentedeprrafopredeter"/>
    <w:link w:val="Cita"/>
    <w:uiPriority w:val="29"/>
    <w:rsid w:val="00794811"/>
    <w:rPr>
      <w:i/>
      <w:iCs/>
      <w:color w:val="404040" w:themeColor="text1" w:themeTint="BF"/>
    </w:rPr>
  </w:style>
  <w:style w:type="paragraph" w:styleId="Prrafodelista">
    <w:name w:val="List Paragraph"/>
    <w:basedOn w:val="Normal"/>
    <w:uiPriority w:val="34"/>
    <w:qFormat/>
    <w:rsid w:val="00794811"/>
    <w:pPr>
      <w:ind w:left="720"/>
      <w:contextualSpacing/>
    </w:pPr>
  </w:style>
  <w:style w:type="character" w:styleId="nfasisintenso">
    <w:name w:val="Intense Emphasis"/>
    <w:basedOn w:val="Fuentedeprrafopredeter"/>
    <w:uiPriority w:val="21"/>
    <w:qFormat/>
    <w:rsid w:val="00794811"/>
    <w:rPr>
      <w:i/>
      <w:iCs/>
      <w:color w:val="2F5496" w:themeColor="accent1" w:themeShade="BF"/>
    </w:rPr>
  </w:style>
  <w:style w:type="paragraph" w:styleId="Citadestacada">
    <w:name w:val="Intense Quote"/>
    <w:basedOn w:val="Normal"/>
    <w:next w:val="Normal"/>
    <w:link w:val="CitadestacadaCar"/>
    <w:uiPriority w:val="30"/>
    <w:qFormat/>
    <w:rsid w:val="0079481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94811"/>
    <w:rPr>
      <w:i/>
      <w:iCs/>
      <w:color w:val="2F5496" w:themeColor="accent1" w:themeShade="BF"/>
    </w:rPr>
  </w:style>
  <w:style w:type="character" w:styleId="Referenciaintensa">
    <w:name w:val="Intense Reference"/>
    <w:basedOn w:val="Fuentedeprrafopredeter"/>
    <w:uiPriority w:val="32"/>
    <w:qFormat/>
    <w:rsid w:val="0079481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1</Pages>
  <Words>6484</Words>
  <Characters>35797</Characters>
  <Application>Microsoft Office Word</Application>
  <DocSecurity>0</DocSecurity>
  <Lines>490</Lines>
  <Paragraphs>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42214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 Negro</dc:creator>
  <cp:keywords/>
  <dc:description/>
  <cp:lastModifiedBy>Li Negro</cp:lastModifiedBy>
  <cp:revision>6</cp:revision>
  <dcterms:created xsi:type="dcterms:W3CDTF">2026-09-12T20:27:00Z</dcterms:created>
  <dcterms:modified xsi:type="dcterms:W3CDTF">2026-09-14T02:36:00Z</dcterms:modified>
</cp:coreProperties>
</file>